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E0" w:rsidRPr="00FA6876" w:rsidRDefault="00000AE0" w:rsidP="00E27670">
      <w:pPr>
        <w:rPr>
          <w:rFonts w:ascii="Times New Roman" w:hAnsi="Times New Roman" w:cs="Times New Roman"/>
          <w:b/>
          <w:bCs/>
          <w:sz w:val="27"/>
          <w:szCs w:val="27"/>
        </w:rPr>
      </w:pPr>
      <w:bookmarkStart w:id="0" w:name="_GoBack"/>
      <w:bookmarkEnd w:id="0"/>
      <w:r w:rsidRPr="00FA6876">
        <w:rPr>
          <w:rFonts w:ascii="Times New Roman" w:hAnsi="Times New Roman" w:cs="Times New Roman"/>
          <w:b/>
          <w:bCs/>
        </w:rPr>
        <w:t xml:space="preserve">Forslag til Forskrift om godtgjøring til folkevalgte i Lier kommune </w:t>
      </w:r>
    </w:p>
    <w:p w:rsidR="00000AE0" w:rsidRDefault="00000AE0" w:rsidP="00000AE0">
      <w:pPr>
        <w:rPr>
          <w:rFonts w:ascii="Times New Roman" w:hAnsi="Times New Roman" w:cs="Times New Roman"/>
        </w:rPr>
      </w:pPr>
      <w:r>
        <w:rPr>
          <w:rFonts w:ascii="Times New Roman" w:hAnsi="Times New Roman" w:cs="Times New Roman"/>
        </w:rPr>
        <w:t xml:space="preserve">hjemmel i kommuneloven av 22.06.2018 §§ 8-3, 8-4 og 8-6.  </w:t>
      </w:r>
    </w:p>
    <w:p w:rsidR="00000AE0" w:rsidRDefault="00000AE0" w:rsidP="00000AE0">
      <w:pPr>
        <w:pStyle w:val="Overskrift3"/>
        <w:rPr>
          <w:sz w:val="24"/>
          <w:szCs w:val="24"/>
        </w:rPr>
      </w:pPr>
      <w:r>
        <w:rPr>
          <w:sz w:val="24"/>
          <w:szCs w:val="24"/>
        </w:rPr>
        <w:t xml:space="preserve">§ 1. Formål </w:t>
      </w:r>
    </w:p>
    <w:p w:rsidR="00000AE0" w:rsidRDefault="00000AE0" w:rsidP="00000AE0">
      <w:pPr>
        <w:rPr>
          <w:rFonts w:ascii="Times New Roman" w:hAnsi="Times New Roman" w:cs="Times New Roman"/>
          <w:sz w:val="28"/>
          <w:szCs w:val="28"/>
        </w:rPr>
      </w:pPr>
      <w:r>
        <w:rPr>
          <w:rFonts w:ascii="Times New Roman" w:hAnsi="Times New Roman" w:cs="Times New Roman"/>
        </w:rPr>
        <w:t>Formålet med forskriften er å regulere rettigheter og plikter etter kommuneloven kapittel 8 for folkevalgte i Lier kommune.</w:t>
      </w:r>
    </w:p>
    <w:p w:rsidR="00000AE0" w:rsidRDefault="00000AE0" w:rsidP="00000AE0">
      <w:pPr>
        <w:pStyle w:val="Overskrift3"/>
        <w:rPr>
          <w:sz w:val="24"/>
          <w:szCs w:val="24"/>
        </w:rPr>
      </w:pPr>
      <w:r>
        <w:rPr>
          <w:sz w:val="24"/>
          <w:szCs w:val="24"/>
        </w:rPr>
        <w:t>§ 2. Virkeområde</w:t>
      </w:r>
    </w:p>
    <w:p w:rsidR="00000AE0" w:rsidRDefault="00000AE0" w:rsidP="00000AE0">
      <w:pPr>
        <w:rPr>
          <w:rFonts w:ascii="Times New Roman" w:hAnsi="Times New Roman" w:cs="Times New Roman"/>
          <w:shd w:val="clear" w:color="auto" w:fill="FFFFFF"/>
        </w:rPr>
      </w:pPr>
      <w:r>
        <w:rPr>
          <w:rFonts w:ascii="Times New Roman" w:hAnsi="Times New Roman" w:cs="Times New Roman"/>
          <w:shd w:val="clear" w:color="auto" w:fill="FFFFFF"/>
        </w:rPr>
        <w:t xml:space="preserve">Forskriften gjelder for leder, nestleder og medlemmer av kommunestyret, formannskapet, utvalg opprettet i henhold til kommuneloven § 5-7, obligatoriske utvalg og råd jf. kommuneloven §§ 5- 11, 23-1 og § 5-12, klagenemnden, arbeidsgiverutvalget, valgstyret og valgkomiteen. </w:t>
      </w:r>
    </w:p>
    <w:p w:rsidR="00000AE0" w:rsidRDefault="00000AE0" w:rsidP="00000AE0">
      <w:pPr>
        <w:pStyle w:val="Overskrift3"/>
        <w:rPr>
          <w:sz w:val="24"/>
          <w:szCs w:val="24"/>
          <w:shd w:val="clear" w:color="auto" w:fill="FFFFFF"/>
        </w:rPr>
      </w:pPr>
      <w:r>
        <w:rPr>
          <w:sz w:val="24"/>
          <w:szCs w:val="24"/>
          <w:shd w:val="clear" w:color="auto" w:fill="FFFFFF"/>
        </w:rPr>
        <w:t xml:space="preserve">§ 3. Plikt til å delta i møte </w:t>
      </w:r>
    </w:p>
    <w:p w:rsidR="00000AE0" w:rsidRDefault="00000AE0" w:rsidP="00000AE0">
      <w:pPr>
        <w:spacing w:after="80"/>
        <w:jc w:val="both"/>
        <w:rPr>
          <w:rFonts w:ascii="Times New Roman" w:hAnsi="Times New Roman" w:cs="Times New Roman"/>
        </w:rPr>
      </w:pPr>
      <w:r>
        <w:rPr>
          <w:rFonts w:ascii="Times New Roman" w:hAnsi="Times New Roman" w:cs="Times New Roman"/>
        </w:rPr>
        <w:t>Medlemmer av et kommunalt folkevalgt organ plikter å delta i organets møter hvis de ikke har gyldig forfall.</w:t>
      </w:r>
    </w:p>
    <w:p w:rsidR="00000AE0" w:rsidRDefault="00000AE0" w:rsidP="00000AE0">
      <w:pPr>
        <w:pStyle w:val="Overskrift3"/>
        <w:rPr>
          <w:sz w:val="24"/>
        </w:rPr>
      </w:pPr>
      <w:r>
        <w:rPr>
          <w:sz w:val="24"/>
        </w:rPr>
        <w:t xml:space="preserve">§ 4. Rett til fri fra arbeid </w:t>
      </w:r>
    </w:p>
    <w:p w:rsidR="00000AE0" w:rsidRDefault="00000AE0" w:rsidP="00000AE0">
      <w:pPr>
        <w:rPr>
          <w:rFonts w:ascii="Times New Roman" w:hAnsi="Times New Roman" w:cs="Times New Roman"/>
        </w:rPr>
      </w:pPr>
      <w:r>
        <w:rPr>
          <w:rFonts w:ascii="Times New Roman" w:hAnsi="Times New Roman" w:cs="Times New Roman"/>
        </w:rPr>
        <w:t xml:space="preserve">Arbeidstakere har krav på fri fra sitt arbeid når det er nødvendig på grunn av møteplikt i kommunale eller fylkeskommunale folkevalgte organer. </w:t>
      </w:r>
    </w:p>
    <w:p w:rsidR="00000AE0" w:rsidRDefault="00000AE0" w:rsidP="00000AE0">
      <w:pPr>
        <w:rPr>
          <w:rFonts w:ascii="Times New Roman" w:hAnsi="Times New Roman" w:cs="Times New Roman"/>
        </w:rPr>
      </w:pPr>
      <w:r>
        <w:rPr>
          <w:rFonts w:ascii="Times New Roman" w:hAnsi="Times New Roman" w:cs="Times New Roman"/>
        </w:rPr>
        <w:t>Arbeidstakere som har et kommunalt eller fylkeskommunalt verv på heltid eller deltid, har også rett til permisjon fra sitt arbeid i fire år eller for resten av valgperioden.</w:t>
      </w:r>
    </w:p>
    <w:p w:rsidR="00000AE0" w:rsidRDefault="00000AE0" w:rsidP="00000AE0">
      <w:pPr>
        <w:pStyle w:val="Overskrift3"/>
        <w:rPr>
          <w:sz w:val="24"/>
        </w:rPr>
      </w:pPr>
      <w:r>
        <w:rPr>
          <w:sz w:val="24"/>
        </w:rPr>
        <w:t xml:space="preserve">§ 5. Beregningsgrunnlag for godtgjøring </w:t>
      </w:r>
    </w:p>
    <w:p w:rsidR="00000AE0" w:rsidRDefault="00000AE0" w:rsidP="00000AE0">
      <w:pPr>
        <w:spacing w:after="80"/>
        <w:jc w:val="both"/>
        <w:rPr>
          <w:rFonts w:ascii="Times New Roman" w:hAnsi="Times New Roman" w:cs="Times New Roman"/>
        </w:rPr>
      </w:pPr>
      <w:r>
        <w:rPr>
          <w:rFonts w:ascii="Times New Roman" w:hAnsi="Times New Roman" w:cs="Times New Roman"/>
        </w:rPr>
        <w:t>Beregningsgrunnlaget for godtgjøring (B) er lik den til enhver tid gjeldende godtgjørelse for stortingsrepresentanter.</w:t>
      </w:r>
    </w:p>
    <w:p w:rsidR="00000AE0" w:rsidRDefault="00000AE0" w:rsidP="00000AE0">
      <w:pPr>
        <w:spacing w:after="80"/>
        <w:jc w:val="both"/>
        <w:rPr>
          <w:rFonts w:ascii="Times New Roman" w:hAnsi="Times New Roman" w:cs="Times New Roman"/>
        </w:rPr>
      </w:pPr>
      <w:r>
        <w:rPr>
          <w:rFonts w:ascii="Times New Roman" w:hAnsi="Times New Roman" w:cs="Times New Roman"/>
        </w:rPr>
        <w:t xml:space="preserve">Alle beløp avrundes opp til nærmeste hele kronebeløp. </w:t>
      </w:r>
    </w:p>
    <w:p w:rsidR="00000AE0" w:rsidRDefault="00000AE0" w:rsidP="00000AE0">
      <w:pPr>
        <w:pStyle w:val="Overskrift3"/>
        <w:rPr>
          <w:sz w:val="24"/>
        </w:rPr>
      </w:pPr>
      <w:r>
        <w:rPr>
          <w:sz w:val="24"/>
        </w:rPr>
        <w:t xml:space="preserve">§ 6. Fastgodtgjøring til ordfører og varaordfører </w:t>
      </w:r>
    </w:p>
    <w:p w:rsidR="00000AE0" w:rsidRDefault="00000AE0" w:rsidP="00000AE0">
      <w:pPr>
        <w:rPr>
          <w:rFonts w:ascii="Times New Roman" w:hAnsi="Times New Roman" w:cs="Times New Roman"/>
        </w:rPr>
      </w:pPr>
      <w:r>
        <w:rPr>
          <w:rFonts w:ascii="Times New Roman" w:hAnsi="Times New Roman" w:cs="Times New Roman"/>
        </w:rPr>
        <w:t xml:space="preserve">Fastgodtgjøring fastsettes i prosent av beregningsgrunnlaget. </w:t>
      </w:r>
    </w:p>
    <w:p w:rsidR="00000AE0" w:rsidRDefault="00000AE0" w:rsidP="00000AE0">
      <w:pPr>
        <w:spacing w:after="80"/>
        <w:rPr>
          <w:rFonts w:ascii="Times New Roman" w:hAnsi="Times New Roman" w:cs="Times New Roman"/>
        </w:rPr>
      </w:pPr>
      <w:r>
        <w:rPr>
          <w:rFonts w:ascii="Times New Roman" w:hAnsi="Times New Roman" w:cs="Times New Roman"/>
        </w:rPr>
        <w:t>Fastgodtgjørelse til ordfører og varaordfører kommer i stedet for dekning av tapt inntekt og arbeidsgodtgjørelse og er forutsatt å dekke alle ordførerens og varaordførerens funksjoner for kommunen, i og utenom normal arbeidstid.</w:t>
      </w:r>
    </w:p>
    <w:p w:rsidR="00000AE0" w:rsidRDefault="00000AE0" w:rsidP="00000AE0">
      <w:pPr>
        <w:spacing w:after="80"/>
        <w:rPr>
          <w:rFonts w:ascii="Times New Roman" w:hAnsi="Times New Roman" w:cs="Times New Roman"/>
        </w:rPr>
      </w:pPr>
      <w:r>
        <w:rPr>
          <w:rFonts w:ascii="Times New Roman" w:hAnsi="Times New Roman" w:cs="Times New Roman"/>
        </w:rPr>
        <w:t xml:space="preserve">Ordfører og varaordfører mottar ikke fastgodtgjøring utover dette, selv om de sitter som ledere i faste utvalg. </w:t>
      </w:r>
    </w:p>
    <w:tbl>
      <w:tblPr>
        <w:tblStyle w:val="Tabellrutenett"/>
        <w:tblpPr w:leftFromText="141" w:rightFromText="141" w:vertAnchor="text" w:horzAnchor="margin" w:tblpY="162"/>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6809"/>
      </w:tblGrid>
      <w:tr w:rsidR="00000AE0" w:rsidTr="00E76C1E">
        <w:tc>
          <w:tcPr>
            <w:tcW w:w="2258" w:type="dxa"/>
            <w:hideMark/>
          </w:tcPr>
          <w:p w:rsidR="00000AE0" w:rsidRDefault="00000AE0" w:rsidP="00E76C1E">
            <w:pPr>
              <w:spacing w:after="80"/>
              <w:rPr>
                <w:rFonts w:ascii="Times New Roman" w:hAnsi="Times New Roman" w:cs="Times New Roman"/>
              </w:rPr>
            </w:pPr>
            <w:r>
              <w:rPr>
                <w:rFonts w:ascii="Times New Roman" w:hAnsi="Times New Roman" w:cs="Times New Roman"/>
              </w:rPr>
              <w:t>ORDFØRER</w:t>
            </w:r>
          </w:p>
        </w:tc>
        <w:tc>
          <w:tcPr>
            <w:tcW w:w="6809" w:type="dxa"/>
            <w:hideMark/>
          </w:tcPr>
          <w:p w:rsidR="00000AE0" w:rsidRDefault="00000AE0" w:rsidP="00E76C1E">
            <w:pPr>
              <w:spacing w:after="80"/>
              <w:rPr>
                <w:rFonts w:ascii="Times New Roman" w:hAnsi="Times New Roman" w:cs="Times New Roman"/>
              </w:rPr>
            </w:pPr>
            <w:r>
              <w:rPr>
                <w:rFonts w:ascii="Times New Roman" w:hAnsi="Times New Roman" w:cs="Times New Roman"/>
              </w:rPr>
              <w:t>100 % av B</w:t>
            </w:r>
          </w:p>
        </w:tc>
      </w:tr>
      <w:tr w:rsidR="00000AE0" w:rsidTr="00E76C1E">
        <w:tc>
          <w:tcPr>
            <w:tcW w:w="2258" w:type="dxa"/>
            <w:hideMark/>
          </w:tcPr>
          <w:p w:rsidR="00000AE0" w:rsidRDefault="00000AE0" w:rsidP="00E76C1E">
            <w:pPr>
              <w:spacing w:after="80"/>
              <w:rPr>
                <w:rFonts w:ascii="Times New Roman" w:hAnsi="Times New Roman" w:cs="Times New Roman"/>
              </w:rPr>
            </w:pPr>
            <w:r>
              <w:rPr>
                <w:rFonts w:ascii="Times New Roman" w:hAnsi="Times New Roman" w:cs="Times New Roman"/>
              </w:rPr>
              <w:t>VARAORDFØRER</w:t>
            </w:r>
          </w:p>
        </w:tc>
        <w:tc>
          <w:tcPr>
            <w:tcW w:w="6809" w:type="dxa"/>
          </w:tcPr>
          <w:p w:rsidR="00000AE0" w:rsidRDefault="00000AE0" w:rsidP="00E76C1E">
            <w:pPr>
              <w:spacing w:after="80"/>
              <w:rPr>
                <w:rFonts w:ascii="Times New Roman" w:hAnsi="Times New Roman" w:cs="Times New Roman"/>
              </w:rPr>
            </w:pPr>
            <w:r>
              <w:rPr>
                <w:rFonts w:ascii="Times New Roman" w:hAnsi="Times New Roman" w:cs="Times New Roman"/>
              </w:rPr>
              <w:t>30 % av B</w:t>
            </w:r>
          </w:p>
          <w:p w:rsidR="00000AE0" w:rsidRDefault="00000AE0" w:rsidP="00E76C1E">
            <w:pPr>
              <w:spacing w:after="80"/>
              <w:rPr>
                <w:rFonts w:ascii="Times New Roman" w:hAnsi="Times New Roman" w:cs="Times New Roman"/>
              </w:rPr>
            </w:pPr>
          </w:p>
        </w:tc>
      </w:tr>
    </w:tbl>
    <w:p w:rsidR="00000AE0" w:rsidRDefault="00000AE0" w:rsidP="00000AE0">
      <w:pPr>
        <w:rPr>
          <w:rFonts w:ascii="Times New Roman" w:hAnsi="Times New Roman" w:cs="Times New Roman"/>
        </w:rPr>
      </w:pPr>
      <w:r>
        <w:rPr>
          <w:rFonts w:ascii="Times New Roman" w:hAnsi="Times New Roman" w:cs="Times New Roman"/>
        </w:rPr>
        <w:t xml:space="preserve">Ordfører avgjør når varaordfører skal overta ordførerens funksjoner, for eksempel ved ferie, sykdom eller andre annet fravær som varer i mer enn en uke. Dersom varaordfører må tre inn </w:t>
      </w:r>
      <w:r>
        <w:rPr>
          <w:rFonts w:ascii="Times New Roman" w:hAnsi="Times New Roman" w:cs="Times New Roman"/>
        </w:rPr>
        <w:lastRenderedPageBreak/>
        <w:t xml:space="preserve">for ordfører i mer enn to hele uker per år, godtgjøres varaordfører med 1/300 av beregningsgrunnlaget per ordinære arbeidsdag fra og med tredje uke og frem til ordfører trer tilbake i funksjon. </w:t>
      </w:r>
    </w:p>
    <w:p w:rsidR="00000AE0" w:rsidRDefault="00000AE0" w:rsidP="00000AE0">
      <w:pPr>
        <w:pStyle w:val="Overskrift3"/>
        <w:rPr>
          <w:sz w:val="24"/>
        </w:rPr>
      </w:pPr>
      <w:r>
        <w:rPr>
          <w:sz w:val="24"/>
        </w:rPr>
        <w:t xml:space="preserve">§ 7. Fastgodtgjøring til utvalgsleder og utvalgsmedlemmer </w:t>
      </w:r>
    </w:p>
    <w:p w:rsidR="00000AE0" w:rsidRDefault="00000AE0" w:rsidP="00000AE0">
      <w:pPr>
        <w:rPr>
          <w:rFonts w:ascii="Times New Roman" w:hAnsi="Times New Roman" w:cs="Times New Roman"/>
        </w:rPr>
      </w:pPr>
      <w:r>
        <w:rPr>
          <w:rFonts w:ascii="Times New Roman" w:hAnsi="Times New Roman" w:cs="Times New Roman"/>
        </w:rPr>
        <w:t xml:space="preserve">Fastgodtgjøring fastsettes i prosent av beregningsgrunnlaget. </w:t>
      </w:r>
    </w:p>
    <w:p w:rsidR="00000AE0" w:rsidRDefault="00000AE0" w:rsidP="00000AE0">
      <w:pPr>
        <w:spacing w:after="80"/>
        <w:rPr>
          <w:rFonts w:ascii="Times New Roman" w:hAnsi="Times New Roman" w:cs="Times New Roman"/>
        </w:rPr>
      </w:pPr>
      <w:r>
        <w:rPr>
          <w:rFonts w:ascii="Times New Roman" w:hAnsi="Times New Roman" w:cs="Times New Roman"/>
        </w:rPr>
        <w:t>Leder og medlemmer av faste utvalg får fast godtgjøring i tillegg til dekning av tapt inntekt og møtegodtgjøring.</w:t>
      </w:r>
    </w:p>
    <w:p w:rsidR="00000AE0" w:rsidRDefault="00000AE0" w:rsidP="00000AE0">
      <w:pPr>
        <w:spacing w:after="80"/>
        <w:rPr>
          <w:rFonts w:ascii="Times New Roman" w:hAnsi="Times New Roman" w:cs="Times New Roman"/>
        </w:rPr>
      </w:pPr>
      <w:r>
        <w:rPr>
          <w:rFonts w:ascii="Times New Roman" w:hAnsi="Times New Roman" w:cs="Times New Roman"/>
        </w:rPr>
        <w:t>Folkevalgte som er medlem og/eller leder i flere faste utvalg mottar kun én fastgodtgjøring.</w:t>
      </w:r>
    </w:p>
    <w:p w:rsidR="00000AE0" w:rsidRDefault="00000AE0" w:rsidP="00000AE0">
      <w:pPr>
        <w:spacing w:after="80"/>
        <w:rPr>
          <w:rFonts w:ascii="Times New Roman" w:hAnsi="Times New Roman" w:cs="Times New Roman"/>
        </w:rPr>
      </w:pPr>
      <w:r>
        <w:rPr>
          <w:rFonts w:ascii="Times New Roman" w:hAnsi="Times New Roman" w:cs="Times New Roman"/>
        </w:rPr>
        <w:t xml:space="preserve">Godtgjøring til leder av hovedutvalg og kontrollutvalget settes til 5 % av beregningsgrunnlaget. I tillegg 3 % godtgjøring som medlem. </w:t>
      </w:r>
    </w:p>
    <w:p w:rsidR="00000AE0" w:rsidRDefault="00000AE0" w:rsidP="00000AE0">
      <w:pPr>
        <w:spacing w:after="80"/>
        <w:rPr>
          <w:rFonts w:ascii="Times New Roman" w:hAnsi="Times New Roman" w:cs="Times New Roman"/>
        </w:rPr>
      </w:pPr>
      <w:r>
        <w:rPr>
          <w:rFonts w:ascii="Times New Roman" w:hAnsi="Times New Roman" w:cs="Times New Roman"/>
        </w:rPr>
        <w:t xml:space="preserve">Godtgjøring til leder av andre faste utvalg settes til 3 % av beregningsgrunnlaget. I tillegg 3 % godtgjøring som medlem. </w:t>
      </w:r>
    </w:p>
    <w:p w:rsidR="00000AE0" w:rsidRDefault="00000AE0" w:rsidP="00000AE0">
      <w:pPr>
        <w:spacing w:after="80"/>
        <w:rPr>
          <w:rFonts w:ascii="Times New Roman" w:hAnsi="Times New Roman" w:cs="Times New Roman"/>
        </w:rPr>
      </w:pPr>
      <w:r>
        <w:rPr>
          <w:rFonts w:ascii="Times New Roman" w:hAnsi="Times New Roman" w:cs="Times New Roman"/>
        </w:rPr>
        <w:t xml:space="preserve">Fastgodtgjøring utbetales i henhold til tabellen: </w:t>
      </w:r>
    </w:p>
    <w:tbl>
      <w:tblPr>
        <w:tblStyle w:val="Tabellrutenett"/>
        <w:tblpPr w:leftFromText="141" w:rightFromText="141" w:vertAnchor="text" w:horzAnchor="margin" w:tblpY="162"/>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706"/>
        <w:gridCol w:w="1843"/>
        <w:gridCol w:w="1706"/>
      </w:tblGrid>
      <w:tr w:rsidR="00000AE0" w:rsidTr="00E76C1E">
        <w:tc>
          <w:tcPr>
            <w:tcW w:w="2258" w:type="dxa"/>
            <w:shd w:val="clear" w:color="auto" w:fill="D9D9D9" w:themeFill="background1" w:themeFillShade="D9"/>
          </w:tcPr>
          <w:p w:rsidR="00000AE0" w:rsidRDefault="00000AE0" w:rsidP="00E76C1E">
            <w:pPr>
              <w:spacing w:after="80"/>
              <w:rPr>
                <w:rFonts w:ascii="Times New Roman" w:hAnsi="Times New Roman" w:cs="Times New Roman"/>
              </w:rPr>
            </w:pPr>
          </w:p>
        </w:tc>
        <w:tc>
          <w:tcPr>
            <w:tcW w:w="1706" w:type="dxa"/>
            <w:shd w:val="clear" w:color="auto" w:fill="D9D9D9" w:themeFill="background1" w:themeFillShade="D9"/>
            <w:hideMark/>
          </w:tcPr>
          <w:p w:rsidR="00000AE0" w:rsidRDefault="00000AE0" w:rsidP="00E76C1E">
            <w:pPr>
              <w:spacing w:after="80"/>
              <w:rPr>
                <w:rFonts w:ascii="Times New Roman" w:hAnsi="Times New Roman" w:cs="Times New Roman"/>
              </w:rPr>
            </w:pPr>
            <w:r>
              <w:rPr>
                <w:rFonts w:ascii="Times New Roman" w:hAnsi="Times New Roman" w:cs="Times New Roman"/>
              </w:rPr>
              <w:t>Leder</w:t>
            </w:r>
          </w:p>
        </w:tc>
        <w:tc>
          <w:tcPr>
            <w:tcW w:w="1843" w:type="dxa"/>
            <w:shd w:val="clear" w:color="auto" w:fill="D9D9D9" w:themeFill="background1" w:themeFillShade="D9"/>
            <w:hideMark/>
          </w:tcPr>
          <w:p w:rsidR="00000AE0" w:rsidRDefault="00000AE0" w:rsidP="00E76C1E">
            <w:pPr>
              <w:spacing w:after="80"/>
              <w:rPr>
                <w:rFonts w:ascii="Times New Roman" w:hAnsi="Times New Roman" w:cs="Times New Roman"/>
              </w:rPr>
            </w:pPr>
            <w:r>
              <w:rPr>
                <w:rFonts w:ascii="Times New Roman" w:hAnsi="Times New Roman" w:cs="Times New Roman"/>
              </w:rPr>
              <w:t xml:space="preserve">Nestleder </w:t>
            </w:r>
          </w:p>
        </w:tc>
        <w:tc>
          <w:tcPr>
            <w:tcW w:w="1706" w:type="dxa"/>
            <w:shd w:val="clear" w:color="auto" w:fill="D9D9D9" w:themeFill="background1" w:themeFillShade="D9"/>
            <w:hideMark/>
          </w:tcPr>
          <w:p w:rsidR="00000AE0" w:rsidRDefault="00000AE0" w:rsidP="00E76C1E">
            <w:pPr>
              <w:spacing w:after="80"/>
              <w:rPr>
                <w:rFonts w:ascii="Times New Roman" w:hAnsi="Times New Roman" w:cs="Times New Roman"/>
              </w:rPr>
            </w:pPr>
            <w:r>
              <w:rPr>
                <w:rFonts w:ascii="Times New Roman" w:hAnsi="Times New Roman" w:cs="Times New Roman"/>
              </w:rPr>
              <w:t>Medlem</w:t>
            </w:r>
          </w:p>
        </w:tc>
      </w:tr>
      <w:tr w:rsidR="00000AE0" w:rsidTr="00E76C1E">
        <w:tc>
          <w:tcPr>
            <w:tcW w:w="2258" w:type="dxa"/>
            <w:hideMark/>
          </w:tcPr>
          <w:p w:rsidR="00000AE0" w:rsidRDefault="00000AE0" w:rsidP="00E76C1E">
            <w:pPr>
              <w:spacing w:after="80"/>
              <w:rPr>
                <w:rFonts w:ascii="Times New Roman" w:hAnsi="Times New Roman" w:cs="Times New Roman"/>
              </w:rPr>
            </w:pPr>
            <w:r>
              <w:rPr>
                <w:rFonts w:ascii="Times New Roman" w:hAnsi="Times New Roman" w:cs="Times New Roman"/>
              </w:rPr>
              <w:t>Kommunestyret</w:t>
            </w:r>
          </w:p>
        </w:tc>
        <w:tc>
          <w:tcPr>
            <w:tcW w:w="1706" w:type="dxa"/>
          </w:tcPr>
          <w:p w:rsidR="00000AE0" w:rsidRDefault="00000AE0" w:rsidP="00E76C1E">
            <w:pPr>
              <w:spacing w:after="80"/>
              <w:rPr>
                <w:rFonts w:ascii="Times New Roman" w:hAnsi="Times New Roman" w:cs="Times New Roman"/>
              </w:rPr>
            </w:pPr>
          </w:p>
        </w:tc>
        <w:tc>
          <w:tcPr>
            <w:tcW w:w="1843" w:type="dxa"/>
          </w:tcPr>
          <w:p w:rsidR="00000AE0" w:rsidRDefault="00000AE0" w:rsidP="00E76C1E">
            <w:pPr>
              <w:spacing w:after="80"/>
              <w:rPr>
                <w:rFonts w:ascii="Times New Roman" w:hAnsi="Times New Roman" w:cs="Times New Roman"/>
              </w:rPr>
            </w:pPr>
          </w:p>
        </w:tc>
        <w:tc>
          <w:tcPr>
            <w:tcW w:w="1706" w:type="dxa"/>
            <w:hideMark/>
          </w:tcPr>
          <w:p w:rsidR="00000AE0" w:rsidRDefault="00000AE0" w:rsidP="00E76C1E">
            <w:pPr>
              <w:spacing w:after="80"/>
              <w:rPr>
                <w:rFonts w:ascii="Times New Roman" w:hAnsi="Times New Roman" w:cs="Times New Roman"/>
              </w:rPr>
            </w:pPr>
            <w:r>
              <w:rPr>
                <w:rFonts w:ascii="Times New Roman" w:hAnsi="Times New Roman" w:cs="Times New Roman"/>
                <w:sz w:val="20"/>
                <w:szCs w:val="20"/>
              </w:rPr>
              <w:t>3 % av B</w:t>
            </w:r>
          </w:p>
        </w:tc>
      </w:tr>
      <w:tr w:rsidR="00000AE0" w:rsidTr="00E76C1E">
        <w:tc>
          <w:tcPr>
            <w:tcW w:w="2258" w:type="dxa"/>
            <w:hideMark/>
          </w:tcPr>
          <w:p w:rsidR="00000AE0" w:rsidRDefault="00000AE0" w:rsidP="00E76C1E">
            <w:pPr>
              <w:spacing w:after="80"/>
              <w:rPr>
                <w:rFonts w:ascii="Times New Roman" w:hAnsi="Times New Roman" w:cs="Times New Roman"/>
              </w:rPr>
            </w:pPr>
            <w:r>
              <w:rPr>
                <w:rFonts w:ascii="Times New Roman" w:hAnsi="Times New Roman" w:cs="Times New Roman"/>
              </w:rPr>
              <w:t xml:space="preserve">Hovedutvalg og kontrollutvalget </w:t>
            </w:r>
          </w:p>
        </w:tc>
        <w:tc>
          <w:tcPr>
            <w:tcW w:w="1706" w:type="dxa"/>
            <w:hideMark/>
          </w:tcPr>
          <w:p w:rsidR="00000AE0" w:rsidRDefault="00000AE0" w:rsidP="00E76C1E">
            <w:pPr>
              <w:spacing w:after="80"/>
              <w:rPr>
                <w:rFonts w:ascii="Times New Roman" w:hAnsi="Times New Roman" w:cs="Times New Roman"/>
              </w:rPr>
            </w:pPr>
            <w:r>
              <w:rPr>
                <w:rFonts w:ascii="Times New Roman" w:hAnsi="Times New Roman" w:cs="Times New Roman"/>
                <w:sz w:val="20"/>
                <w:szCs w:val="20"/>
              </w:rPr>
              <w:t>+ 5 % av B</w:t>
            </w:r>
          </w:p>
        </w:tc>
        <w:tc>
          <w:tcPr>
            <w:tcW w:w="1843" w:type="dxa"/>
            <w:hideMark/>
          </w:tcPr>
          <w:p w:rsidR="00000AE0" w:rsidRDefault="00000AE0" w:rsidP="00E76C1E">
            <w:pPr>
              <w:spacing w:after="80"/>
              <w:rPr>
                <w:rFonts w:ascii="Times New Roman" w:hAnsi="Times New Roman" w:cs="Times New Roman"/>
              </w:rPr>
            </w:pPr>
            <w:r>
              <w:rPr>
                <w:rFonts w:ascii="Times New Roman" w:hAnsi="Times New Roman" w:cs="Times New Roman"/>
                <w:sz w:val="20"/>
                <w:szCs w:val="20"/>
              </w:rPr>
              <w:t>+ 1,5 % av B</w:t>
            </w:r>
          </w:p>
        </w:tc>
        <w:tc>
          <w:tcPr>
            <w:tcW w:w="1706" w:type="dxa"/>
            <w:hideMark/>
          </w:tcPr>
          <w:p w:rsidR="00000AE0" w:rsidRDefault="00000AE0" w:rsidP="00E76C1E">
            <w:pPr>
              <w:spacing w:after="80"/>
              <w:rPr>
                <w:rFonts w:ascii="Times New Roman" w:hAnsi="Times New Roman" w:cs="Times New Roman"/>
              </w:rPr>
            </w:pPr>
            <w:r>
              <w:rPr>
                <w:rFonts w:ascii="Times New Roman" w:hAnsi="Times New Roman" w:cs="Times New Roman"/>
                <w:sz w:val="20"/>
                <w:szCs w:val="20"/>
              </w:rPr>
              <w:t>3 % av B</w:t>
            </w:r>
          </w:p>
        </w:tc>
      </w:tr>
      <w:tr w:rsidR="00000AE0" w:rsidTr="00E76C1E">
        <w:tc>
          <w:tcPr>
            <w:tcW w:w="2258" w:type="dxa"/>
            <w:hideMark/>
          </w:tcPr>
          <w:p w:rsidR="00000AE0" w:rsidRDefault="00000AE0" w:rsidP="00E76C1E">
            <w:pPr>
              <w:spacing w:after="80"/>
              <w:rPr>
                <w:rFonts w:ascii="Times New Roman" w:hAnsi="Times New Roman" w:cs="Times New Roman"/>
              </w:rPr>
            </w:pPr>
            <w:r>
              <w:rPr>
                <w:rFonts w:ascii="Times New Roman" w:hAnsi="Times New Roman" w:cs="Times New Roman"/>
              </w:rPr>
              <w:t>Andre faste utvalg</w:t>
            </w:r>
          </w:p>
        </w:tc>
        <w:tc>
          <w:tcPr>
            <w:tcW w:w="1706" w:type="dxa"/>
            <w:hideMark/>
          </w:tcPr>
          <w:p w:rsidR="00000AE0" w:rsidRDefault="00000AE0" w:rsidP="00E76C1E">
            <w:pPr>
              <w:spacing w:after="80"/>
              <w:rPr>
                <w:rFonts w:ascii="Times New Roman" w:hAnsi="Times New Roman" w:cs="Times New Roman"/>
              </w:rPr>
            </w:pPr>
            <w:r>
              <w:rPr>
                <w:rFonts w:ascii="Times New Roman" w:hAnsi="Times New Roman" w:cs="Times New Roman"/>
                <w:sz w:val="20"/>
                <w:szCs w:val="20"/>
              </w:rPr>
              <w:t>+ 3 % av B</w:t>
            </w:r>
          </w:p>
        </w:tc>
        <w:tc>
          <w:tcPr>
            <w:tcW w:w="1843" w:type="dxa"/>
            <w:hideMark/>
          </w:tcPr>
          <w:p w:rsidR="00000AE0" w:rsidRDefault="00000AE0" w:rsidP="00E76C1E">
            <w:pPr>
              <w:spacing w:after="80"/>
              <w:rPr>
                <w:rFonts w:ascii="Times New Roman" w:hAnsi="Times New Roman" w:cs="Times New Roman"/>
              </w:rPr>
            </w:pPr>
            <w:r>
              <w:rPr>
                <w:rFonts w:ascii="Times New Roman" w:hAnsi="Times New Roman" w:cs="Times New Roman"/>
              </w:rPr>
              <w:t>-</w:t>
            </w:r>
          </w:p>
        </w:tc>
        <w:tc>
          <w:tcPr>
            <w:tcW w:w="1706" w:type="dxa"/>
            <w:hideMark/>
          </w:tcPr>
          <w:p w:rsidR="00000AE0" w:rsidRDefault="00000AE0" w:rsidP="00E76C1E">
            <w:pPr>
              <w:spacing w:after="80"/>
              <w:rPr>
                <w:rFonts w:ascii="Times New Roman" w:hAnsi="Times New Roman" w:cs="Times New Roman"/>
              </w:rPr>
            </w:pPr>
            <w:r>
              <w:rPr>
                <w:rFonts w:ascii="Times New Roman" w:hAnsi="Times New Roman" w:cs="Times New Roman"/>
                <w:sz w:val="20"/>
                <w:szCs w:val="20"/>
              </w:rPr>
              <w:t>3 % av B</w:t>
            </w:r>
          </w:p>
        </w:tc>
      </w:tr>
      <w:tr w:rsidR="00000AE0" w:rsidTr="00E76C1E">
        <w:tc>
          <w:tcPr>
            <w:tcW w:w="2258" w:type="dxa"/>
            <w:hideMark/>
          </w:tcPr>
          <w:p w:rsidR="00000AE0" w:rsidRDefault="00000AE0" w:rsidP="00E76C1E">
            <w:pPr>
              <w:spacing w:after="80"/>
              <w:rPr>
                <w:rFonts w:ascii="Times New Roman" w:hAnsi="Times New Roman" w:cs="Times New Roman"/>
              </w:rPr>
            </w:pPr>
            <w:r>
              <w:rPr>
                <w:rFonts w:ascii="Times New Roman" w:hAnsi="Times New Roman" w:cs="Times New Roman"/>
                <w:sz w:val="20"/>
                <w:szCs w:val="20"/>
              </w:rPr>
              <w:t>Andre politiske organ</w:t>
            </w:r>
          </w:p>
        </w:tc>
        <w:tc>
          <w:tcPr>
            <w:tcW w:w="1706" w:type="dxa"/>
            <w:hideMark/>
          </w:tcPr>
          <w:p w:rsidR="00000AE0" w:rsidRDefault="00000AE0" w:rsidP="00E76C1E">
            <w:pPr>
              <w:spacing w:after="80"/>
              <w:rPr>
                <w:rFonts w:ascii="Times New Roman" w:hAnsi="Times New Roman" w:cs="Times New Roman"/>
              </w:rPr>
            </w:pPr>
            <w:r>
              <w:rPr>
                <w:rStyle w:val="Merknadsreferanse"/>
                <w:rFonts w:ascii="Times New Roman" w:hAnsi="Times New Roman" w:cs="Times New Roman"/>
                <w:sz w:val="20"/>
                <w:szCs w:val="20"/>
              </w:rPr>
              <w:t>1,5 % av B</w:t>
            </w:r>
          </w:p>
        </w:tc>
        <w:tc>
          <w:tcPr>
            <w:tcW w:w="1843" w:type="dxa"/>
            <w:hideMark/>
          </w:tcPr>
          <w:p w:rsidR="00000AE0" w:rsidRDefault="00000AE0" w:rsidP="00E76C1E">
            <w:pPr>
              <w:spacing w:after="80"/>
              <w:rPr>
                <w:rFonts w:ascii="Times New Roman" w:hAnsi="Times New Roman" w:cs="Times New Roman"/>
              </w:rPr>
            </w:pPr>
            <w:r>
              <w:rPr>
                <w:rFonts w:ascii="Times New Roman" w:hAnsi="Times New Roman" w:cs="Times New Roman"/>
              </w:rPr>
              <w:t>-</w:t>
            </w:r>
          </w:p>
        </w:tc>
        <w:tc>
          <w:tcPr>
            <w:tcW w:w="1706" w:type="dxa"/>
            <w:hideMark/>
          </w:tcPr>
          <w:p w:rsidR="00000AE0" w:rsidRDefault="00000AE0" w:rsidP="00E76C1E">
            <w:pPr>
              <w:spacing w:after="80"/>
              <w:rPr>
                <w:rFonts w:ascii="Times New Roman" w:hAnsi="Times New Roman" w:cs="Times New Roman"/>
              </w:rPr>
            </w:pPr>
            <w:r>
              <w:rPr>
                <w:rFonts w:ascii="Times New Roman" w:hAnsi="Times New Roman" w:cs="Times New Roman"/>
              </w:rPr>
              <w:t>-</w:t>
            </w:r>
          </w:p>
        </w:tc>
      </w:tr>
    </w:tbl>
    <w:p w:rsidR="00000AE0" w:rsidRDefault="00000AE0" w:rsidP="00000AE0">
      <w:pPr>
        <w:rPr>
          <w:rFonts w:ascii="Times New Roman" w:hAnsi="Times New Roman" w:cs="Times New Roman"/>
          <w:b/>
        </w:rPr>
      </w:pPr>
    </w:p>
    <w:p w:rsidR="00000AE0" w:rsidRDefault="00000AE0" w:rsidP="00000AE0">
      <w:pPr>
        <w:pStyle w:val="Overskrift3"/>
        <w:rPr>
          <w:sz w:val="24"/>
          <w:szCs w:val="24"/>
        </w:rPr>
      </w:pPr>
    </w:p>
    <w:p w:rsidR="00000AE0" w:rsidRDefault="00000AE0" w:rsidP="00000AE0">
      <w:pPr>
        <w:pStyle w:val="Overskrift3"/>
        <w:rPr>
          <w:sz w:val="24"/>
          <w:szCs w:val="24"/>
        </w:rPr>
      </w:pPr>
    </w:p>
    <w:p w:rsidR="00000AE0" w:rsidRDefault="00000AE0" w:rsidP="00000AE0">
      <w:pPr>
        <w:pStyle w:val="Overskrift3"/>
        <w:rPr>
          <w:sz w:val="24"/>
          <w:szCs w:val="24"/>
        </w:rPr>
      </w:pPr>
    </w:p>
    <w:p w:rsidR="00000AE0" w:rsidRDefault="00000AE0" w:rsidP="00000AE0">
      <w:pPr>
        <w:pStyle w:val="Overskrift3"/>
        <w:rPr>
          <w:sz w:val="24"/>
          <w:szCs w:val="24"/>
        </w:rPr>
      </w:pPr>
      <w:r>
        <w:rPr>
          <w:sz w:val="24"/>
          <w:szCs w:val="24"/>
        </w:rPr>
        <w:t xml:space="preserve">§ 8. Reduksjon i fastgodtgjøring ved fravær </w:t>
      </w:r>
    </w:p>
    <w:p w:rsidR="00000AE0" w:rsidRDefault="00000AE0" w:rsidP="00000AE0">
      <w:pPr>
        <w:pStyle w:val="NormalWeb"/>
        <w:spacing w:after="240" w:afterAutospacing="0"/>
        <w:rPr>
          <w:i/>
          <w:iCs/>
          <w:sz w:val="22"/>
          <w:szCs w:val="22"/>
        </w:rPr>
      </w:pPr>
      <w:r>
        <w:t xml:space="preserve">Det gjøres reduksjon i fastgodtgjøring for fravær uten gyldig forfall. </w:t>
      </w:r>
    </w:p>
    <w:p w:rsidR="00000AE0" w:rsidRDefault="00000AE0" w:rsidP="00000AE0">
      <w:pPr>
        <w:spacing w:after="80"/>
        <w:rPr>
          <w:rFonts w:ascii="Times New Roman" w:hAnsi="Times New Roman" w:cs="Times New Roman"/>
        </w:rPr>
      </w:pPr>
      <w:r>
        <w:rPr>
          <w:rFonts w:ascii="Times New Roman" w:hAnsi="Times New Roman" w:cs="Times New Roman"/>
        </w:rPr>
        <w:t xml:space="preserve">Dersom en møteleder er fraværende fra mer enn 1/2 av møtene i et halvår, reduseres den faste godtgjøringen forholdsvis. </w:t>
      </w:r>
    </w:p>
    <w:p w:rsidR="00000AE0" w:rsidRDefault="00000AE0" w:rsidP="00000AE0">
      <w:pPr>
        <w:spacing w:after="80"/>
        <w:rPr>
          <w:rFonts w:ascii="Times New Roman" w:hAnsi="Times New Roman" w:cs="Times New Roman"/>
        </w:rPr>
      </w:pPr>
      <w:r>
        <w:rPr>
          <w:rFonts w:ascii="Times New Roman" w:hAnsi="Times New Roman" w:cs="Times New Roman"/>
        </w:rPr>
        <w:t>Når nestleder har fungert som møteleder på minst 1/2 av møtene i løpet av et halvt år skal vedkommende ha en forholdsvis andel av den faste ledergodtgjøringen. Den faste ledergodtgjøringen reduseres da tilsvarende for fast leder.</w:t>
      </w:r>
      <w:r>
        <w:rPr>
          <w:rFonts w:ascii="Times New Roman" w:hAnsi="Times New Roman" w:cs="Times New Roman"/>
          <w:strike/>
        </w:rPr>
        <w:t xml:space="preserve"> </w:t>
      </w:r>
    </w:p>
    <w:p w:rsidR="00000AE0" w:rsidRDefault="00000AE0" w:rsidP="00000AE0">
      <w:pPr>
        <w:spacing w:after="80"/>
        <w:rPr>
          <w:rFonts w:ascii="Times New Roman" w:hAnsi="Times New Roman" w:cs="Times New Roman"/>
        </w:rPr>
      </w:pPr>
      <w:r>
        <w:rPr>
          <w:rFonts w:ascii="Times New Roman" w:hAnsi="Times New Roman" w:cs="Times New Roman"/>
        </w:rPr>
        <w:t xml:space="preserve">Ved et medlems fravær fra mer enn 1/2 av møtene i løpet av et halvår, reduseres den faste godtgjøringen forholdsvis. </w:t>
      </w:r>
    </w:p>
    <w:p w:rsidR="00000AE0" w:rsidRDefault="00000AE0" w:rsidP="00000AE0">
      <w:pPr>
        <w:spacing w:after="80"/>
        <w:rPr>
          <w:rFonts w:ascii="Times New Roman" w:hAnsi="Times New Roman" w:cs="Times New Roman"/>
        </w:rPr>
      </w:pPr>
      <w:r>
        <w:rPr>
          <w:rFonts w:ascii="Times New Roman" w:hAnsi="Times New Roman" w:cs="Times New Roman"/>
        </w:rPr>
        <w:t xml:space="preserve">Når et varamedlem har møtt på mer enn 1/2 av møtene i avregningsperioden, uavhengig av hvilket medlem vedkommende møter for, tilkommer varamedlemmet en forholdsvis andel av den faste medlemsgodtgjøringen. </w:t>
      </w:r>
    </w:p>
    <w:p w:rsidR="00000AE0" w:rsidRDefault="00000AE0" w:rsidP="00000AE0">
      <w:pPr>
        <w:pStyle w:val="Overskrift3"/>
        <w:rPr>
          <w:sz w:val="24"/>
          <w:szCs w:val="24"/>
        </w:rPr>
      </w:pPr>
      <w:r>
        <w:rPr>
          <w:sz w:val="24"/>
          <w:szCs w:val="24"/>
        </w:rPr>
        <w:t xml:space="preserve">§ 9. Møtegodtgjøring (arbeidsgodtgjøring) </w:t>
      </w:r>
    </w:p>
    <w:p w:rsidR="00000AE0" w:rsidRDefault="00000AE0" w:rsidP="00000AE0">
      <w:pPr>
        <w:spacing w:after="80"/>
        <w:rPr>
          <w:rFonts w:ascii="Times New Roman" w:hAnsi="Times New Roman" w:cs="Times New Roman"/>
        </w:rPr>
      </w:pPr>
      <w:r>
        <w:rPr>
          <w:rFonts w:ascii="Times New Roman" w:hAnsi="Times New Roman" w:cs="Times New Roman"/>
        </w:rPr>
        <w:t xml:space="preserve">Folkevalgte mottar møtegodtgjøring for deltagelse i møter de er innkalt til. </w:t>
      </w:r>
    </w:p>
    <w:p w:rsidR="00000AE0" w:rsidRDefault="00000AE0" w:rsidP="00000AE0">
      <w:pPr>
        <w:spacing w:after="80"/>
        <w:rPr>
          <w:rFonts w:ascii="Times New Roman" w:hAnsi="Times New Roman" w:cs="Times New Roman"/>
        </w:rPr>
      </w:pPr>
      <w:r>
        <w:rPr>
          <w:rFonts w:ascii="Times New Roman" w:hAnsi="Times New Roman" w:cs="Times New Roman"/>
        </w:rPr>
        <w:t xml:space="preserve">Møtegodtgjøring er forutsatt å kompensere for selve møtet, uansett arbeidsbyrden til forberedelse av sakene og møtetid. </w:t>
      </w:r>
    </w:p>
    <w:p w:rsidR="00000AE0" w:rsidRDefault="00000AE0" w:rsidP="00000AE0">
      <w:pPr>
        <w:spacing w:after="80"/>
        <w:rPr>
          <w:rFonts w:ascii="Times New Roman" w:hAnsi="Times New Roman" w:cs="Times New Roman"/>
        </w:rPr>
      </w:pPr>
      <w:r>
        <w:rPr>
          <w:rFonts w:ascii="Times New Roman" w:hAnsi="Times New Roman" w:cs="Times New Roman"/>
        </w:rPr>
        <w:t xml:space="preserve">Når flere møter holdes samme dag utbetales 0,15 % av beregningsgrunnlaget som møtegodtgjøring for første møte og 0,075 % av beregningsgrunnlaget for hvert av de påfølgende møtene. </w:t>
      </w:r>
    </w:p>
    <w:p w:rsidR="00000AE0" w:rsidRDefault="00000AE0" w:rsidP="00000AE0">
      <w:pPr>
        <w:spacing w:after="80"/>
        <w:rPr>
          <w:rFonts w:ascii="Times New Roman" w:hAnsi="Times New Roman" w:cs="Times New Roman"/>
        </w:rPr>
      </w:pPr>
    </w:p>
    <w:tbl>
      <w:tblPr>
        <w:tblW w:w="5294" w:type="dxa"/>
        <w:tblInd w:w="-5" w:type="dxa"/>
        <w:tblLook w:val="04A0" w:firstRow="1" w:lastRow="0" w:firstColumn="1" w:lastColumn="0" w:noHBand="0" w:noVBand="1"/>
      </w:tblPr>
      <w:tblGrid>
        <w:gridCol w:w="2823"/>
        <w:gridCol w:w="2471"/>
      </w:tblGrid>
      <w:tr w:rsidR="00000AE0" w:rsidTr="00E76C1E">
        <w:tc>
          <w:tcPr>
            <w:tcW w:w="2823" w:type="dxa"/>
            <w:hideMark/>
          </w:tcPr>
          <w:p w:rsidR="00000AE0" w:rsidRDefault="00000AE0" w:rsidP="00E76C1E">
            <w:pPr>
              <w:spacing w:after="80"/>
              <w:rPr>
                <w:rFonts w:ascii="Times New Roman" w:hAnsi="Times New Roman" w:cs="Times New Roman"/>
              </w:rPr>
            </w:pPr>
            <w:r>
              <w:rPr>
                <w:rFonts w:ascii="Times New Roman" w:hAnsi="Times New Roman" w:cs="Times New Roman"/>
              </w:rPr>
              <w:t xml:space="preserve">Møtegodtgjøring 1. møte samme dag </w:t>
            </w:r>
          </w:p>
        </w:tc>
        <w:tc>
          <w:tcPr>
            <w:tcW w:w="2471" w:type="dxa"/>
            <w:hideMark/>
          </w:tcPr>
          <w:p w:rsidR="00000AE0" w:rsidRDefault="00000AE0" w:rsidP="00E76C1E">
            <w:pPr>
              <w:spacing w:after="80"/>
              <w:jc w:val="right"/>
              <w:rPr>
                <w:rFonts w:ascii="Times New Roman" w:hAnsi="Times New Roman" w:cs="Times New Roman"/>
              </w:rPr>
            </w:pPr>
            <w:r>
              <w:rPr>
                <w:rFonts w:ascii="Times New Roman" w:hAnsi="Times New Roman" w:cs="Times New Roman"/>
              </w:rPr>
              <w:t>0,15 % av B</w:t>
            </w:r>
          </w:p>
        </w:tc>
      </w:tr>
      <w:tr w:rsidR="00000AE0" w:rsidTr="00E76C1E">
        <w:tc>
          <w:tcPr>
            <w:tcW w:w="2823" w:type="dxa"/>
            <w:hideMark/>
          </w:tcPr>
          <w:p w:rsidR="00000AE0" w:rsidRDefault="00000AE0" w:rsidP="00E76C1E">
            <w:pPr>
              <w:spacing w:after="80"/>
              <w:rPr>
                <w:rFonts w:ascii="Times New Roman" w:hAnsi="Times New Roman" w:cs="Times New Roman"/>
              </w:rPr>
            </w:pPr>
            <w:r>
              <w:rPr>
                <w:rFonts w:ascii="Times New Roman" w:hAnsi="Times New Roman" w:cs="Times New Roman"/>
              </w:rPr>
              <w:t>Møtegodtgjøring for hvert påfølgende møte samme dag</w:t>
            </w:r>
          </w:p>
        </w:tc>
        <w:tc>
          <w:tcPr>
            <w:tcW w:w="2471" w:type="dxa"/>
            <w:hideMark/>
          </w:tcPr>
          <w:p w:rsidR="00000AE0" w:rsidRDefault="00000AE0" w:rsidP="00E76C1E">
            <w:pPr>
              <w:spacing w:after="80"/>
              <w:jc w:val="right"/>
              <w:rPr>
                <w:rFonts w:ascii="Times New Roman" w:hAnsi="Times New Roman" w:cs="Times New Roman"/>
              </w:rPr>
            </w:pPr>
            <w:r>
              <w:rPr>
                <w:rFonts w:ascii="Times New Roman" w:hAnsi="Times New Roman" w:cs="Times New Roman"/>
              </w:rPr>
              <w:t>0,075 % av B</w:t>
            </w:r>
          </w:p>
        </w:tc>
      </w:tr>
    </w:tbl>
    <w:p w:rsidR="00000AE0" w:rsidRDefault="00000AE0" w:rsidP="00000AE0">
      <w:pPr>
        <w:pStyle w:val="Overskrift3"/>
        <w:rPr>
          <w:sz w:val="24"/>
        </w:rPr>
      </w:pPr>
      <w:r>
        <w:rPr>
          <w:sz w:val="24"/>
        </w:rPr>
        <w:t xml:space="preserve">§ 10. Møtegodtgjøring for generalforsamlinger </w:t>
      </w:r>
    </w:p>
    <w:p w:rsidR="00000AE0" w:rsidRDefault="00000AE0" w:rsidP="00000AE0">
      <w:pPr>
        <w:spacing w:after="80"/>
        <w:rPr>
          <w:rFonts w:ascii="Times New Roman" w:hAnsi="Times New Roman" w:cs="Times New Roman"/>
        </w:rPr>
      </w:pPr>
      <w:r>
        <w:rPr>
          <w:rFonts w:ascii="Times New Roman" w:hAnsi="Times New Roman" w:cs="Times New Roman"/>
        </w:rPr>
        <w:t xml:space="preserve">Folkevalgte som er deltar på generalforsamling i kommunens hel- eller deleide aksjeselskaper mottar møtegodtgjøring i henhold til tabell i § 9. </w:t>
      </w:r>
    </w:p>
    <w:p w:rsidR="00000AE0" w:rsidRDefault="00000AE0" w:rsidP="00000AE0">
      <w:pPr>
        <w:spacing w:after="80"/>
        <w:rPr>
          <w:rFonts w:ascii="Times New Roman" w:hAnsi="Times New Roman" w:cs="Times New Roman"/>
        </w:rPr>
      </w:pPr>
      <w:r>
        <w:rPr>
          <w:rFonts w:ascii="Times New Roman" w:hAnsi="Times New Roman" w:cs="Times New Roman"/>
        </w:rPr>
        <w:t>Dersom flere generalforsmalinger avholdes på samme dag mottas én møtegodtgjøring, i tillegg til eventuelt tapt inntekt. Godtgjøringen utbetales på grunnlag av fremmøteprotokoller fra generalforsamlingene.</w:t>
      </w:r>
    </w:p>
    <w:p w:rsidR="00000AE0" w:rsidRDefault="00000AE0" w:rsidP="00000AE0">
      <w:pPr>
        <w:pStyle w:val="Overskrift3"/>
        <w:rPr>
          <w:sz w:val="24"/>
        </w:rPr>
      </w:pPr>
      <w:r>
        <w:rPr>
          <w:sz w:val="24"/>
        </w:rPr>
        <w:t xml:space="preserve">§ 11. Møtegodtgjøring for deltakelse i representantskapsmøter i interkommunale selskaper </w:t>
      </w:r>
    </w:p>
    <w:p w:rsidR="00000AE0" w:rsidRDefault="00000AE0" w:rsidP="00000AE0">
      <w:pPr>
        <w:rPr>
          <w:rFonts w:ascii="Times New Roman" w:hAnsi="Times New Roman" w:cs="Times New Roman"/>
        </w:rPr>
      </w:pPr>
      <w:r>
        <w:rPr>
          <w:rFonts w:ascii="Times New Roman" w:hAnsi="Times New Roman" w:cs="Times New Roman"/>
        </w:rPr>
        <w:t>Folkevalgte i Lier kommune som deltar i representantskapsmøte i våre interkommunale selskaper eller i møter i styrende organ i foretak eller samarbeid i henhold til kommuneloven mottar møtegodtgjøring i henhold til tabell i § 9. Dette gjelder ikke ordfører.</w:t>
      </w:r>
    </w:p>
    <w:p w:rsidR="00000AE0" w:rsidRDefault="00000AE0" w:rsidP="00000AE0">
      <w:pPr>
        <w:pStyle w:val="Overskrift3"/>
        <w:rPr>
          <w:sz w:val="24"/>
        </w:rPr>
      </w:pPr>
      <w:r>
        <w:rPr>
          <w:sz w:val="24"/>
        </w:rPr>
        <w:t xml:space="preserve">§ 12. Dekning av tapt inntekt </w:t>
      </w:r>
    </w:p>
    <w:p w:rsidR="00000AE0" w:rsidRDefault="00000AE0" w:rsidP="00000AE0">
      <w:pPr>
        <w:spacing w:after="80"/>
        <w:rPr>
          <w:rFonts w:ascii="Times New Roman" w:hAnsi="Times New Roman" w:cs="Times New Roman"/>
        </w:rPr>
      </w:pPr>
      <w:r>
        <w:rPr>
          <w:rFonts w:ascii="Times New Roman" w:hAnsi="Times New Roman" w:cs="Times New Roman"/>
        </w:rPr>
        <w:t xml:space="preserve">Folkevalgte som taper inntekt fordi han/hun har et kommunalt tillitsverv, skal få dekket sitt tap for deltagelse i møter eller samlinger de er innkalt til av politisk sekretariat. </w:t>
      </w:r>
    </w:p>
    <w:p w:rsidR="00000AE0" w:rsidRDefault="00000AE0" w:rsidP="00000AE0">
      <w:pPr>
        <w:spacing w:after="80"/>
        <w:rPr>
          <w:rFonts w:ascii="Times New Roman" w:hAnsi="Times New Roman" w:cs="Times New Roman"/>
        </w:rPr>
      </w:pPr>
      <w:r>
        <w:rPr>
          <w:rFonts w:ascii="Times New Roman" w:hAnsi="Times New Roman" w:cs="Times New Roman"/>
        </w:rPr>
        <w:t xml:space="preserve">Som utgangspunkt for beregning av tapt inntekt regnes den folkevalgtes ordinære arbeidstid. For selvstendig næringsdrivende, herunder gårdbrukere, regnes arbeidstid fra kl. 08.00 til kl. 16.00. </w:t>
      </w:r>
    </w:p>
    <w:p w:rsidR="00000AE0" w:rsidRDefault="00000AE0" w:rsidP="00000AE0">
      <w:pPr>
        <w:spacing w:after="80"/>
        <w:rPr>
          <w:rFonts w:ascii="Times New Roman" w:hAnsi="Times New Roman" w:cs="Times New Roman"/>
        </w:rPr>
      </w:pPr>
      <w:r>
        <w:rPr>
          <w:rFonts w:ascii="Times New Roman" w:hAnsi="Times New Roman" w:cs="Times New Roman"/>
        </w:rPr>
        <w:t xml:space="preserve">Tapt inntekt utover tabellen under dekkes ikke. </w:t>
      </w:r>
    </w:p>
    <w:p w:rsidR="00000AE0" w:rsidRDefault="00000AE0" w:rsidP="00000AE0">
      <w:pPr>
        <w:spacing w:after="80"/>
        <w:rPr>
          <w:rFonts w:ascii="Times New Roman" w:hAnsi="Times New Roman" w:cs="Times New Roman"/>
        </w:rPr>
      </w:pPr>
      <w:r>
        <w:rPr>
          <w:rFonts w:ascii="Times New Roman" w:hAnsi="Times New Roman" w:cs="Times New Roman"/>
        </w:rPr>
        <w:t xml:space="preserve">Det skilles mellom legitimert og ulegitimert inntektstap. Inntektstapet er legitimert med attest fra arbeidsgiver. Selvstendig næringsdrivende må legitimere tapt arbeidsfortjeneste basert på vedkommende selvangivelse eller årsinntekt etter siste ligning eller annen godkjennbar dokumentasjon. </w:t>
      </w:r>
    </w:p>
    <w:p w:rsidR="00000AE0" w:rsidRDefault="00000AE0" w:rsidP="00000AE0">
      <w:pPr>
        <w:spacing w:after="80"/>
        <w:rPr>
          <w:rFonts w:ascii="Times New Roman" w:hAnsi="Times New Roman" w:cs="Times New Roman"/>
          <w:color w:val="FF0000"/>
        </w:rPr>
      </w:pPr>
      <w:r>
        <w:rPr>
          <w:rFonts w:ascii="Times New Roman" w:hAnsi="Times New Roman" w:cs="Times New Roman"/>
        </w:rPr>
        <w:t xml:space="preserve">Ulegitimert inntektstap må sannsynliggjøres. </w:t>
      </w:r>
    </w:p>
    <w:tbl>
      <w:tblPr>
        <w:tblW w:w="0" w:type="dxa"/>
        <w:tblInd w:w="-5" w:type="dxa"/>
        <w:tblLayout w:type="fixed"/>
        <w:tblLook w:val="04A0" w:firstRow="1" w:lastRow="0" w:firstColumn="1" w:lastColumn="0" w:noHBand="0" w:noVBand="1"/>
      </w:tblPr>
      <w:tblGrid>
        <w:gridCol w:w="1685"/>
        <w:gridCol w:w="2443"/>
      </w:tblGrid>
      <w:tr w:rsidR="00000AE0" w:rsidTr="00E76C1E">
        <w:trPr>
          <w:trHeight w:val="393"/>
        </w:trPr>
        <w:tc>
          <w:tcPr>
            <w:tcW w:w="1685" w:type="dxa"/>
            <w:hideMark/>
          </w:tcPr>
          <w:p w:rsidR="00000AE0" w:rsidRDefault="00000AE0" w:rsidP="00E76C1E">
            <w:pPr>
              <w:spacing w:after="80"/>
              <w:rPr>
                <w:rFonts w:ascii="Times New Roman" w:hAnsi="Times New Roman" w:cs="Times New Roman"/>
                <w:szCs w:val="20"/>
              </w:rPr>
            </w:pPr>
            <w:r>
              <w:rPr>
                <w:rFonts w:ascii="Times New Roman" w:hAnsi="Times New Roman" w:cs="Times New Roman"/>
                <w:szCs w:val="20"/>
              </w:rPr>
              <w:t>Legitimert</w:t>
            </w:r>
          </w:p>
        </w:tc>
        <w:tc>
          <w:tcPr>
            <w:tcW w:w="2443" w:type="dxa"/>
            <w:hideMark/>
          </w:tcPr>
          <w:p w:rsidR="00000AE0" w:rsidRDefault="00000AE0" w:rsidP="00E76C1E">
            <w:pPr>
              <w:spacing w:after="80"/>
              <w:jc w:val="right"/>
              <w:rPr>
                <w:rFonts w:ascii="Times New Roman" w:hAnsi="Times New Roman" w:cs="Times New Roman"/>
                <w:szCs w:val="20"/>
              </w:rPr>
            </w:pPr>
            <w:r>
              <w:rPr>
                <w:rFonts w:ascii="Times New Roman" w:hAnsi="Times New Roman" w:cs="Times New Roman"/>
                <w:szCs w:val="20"/>
              </w:rPr>
              <w:t>0,45 % av B</w:t>
            </w:r>
          </w:p>
        </w:tc>
      </w:tr>
      <w:tr w:rsidR="00000AE0" w:rsidTr="00E76C1E">
        <w:trPr>
          <w:trHeight w:val="393"/>
        </w:trPr>
        <w:tc>
          <w:tcPr>
            <w:tcW w:w="1685" w:type="dxa"/>
            <w:hideMark/>
          </w:tcPr>
          <w:p w:rsidR="00000AE0" w:rsidRDefault="00000AE0" w:rsidP="00E76C1E">
            <w:pPr>
              <w:spacing w:after="80"/>
              <w:rPr>
                <w:rFonts w:ascii="Times New Roman" w:hAnsi="Times New Roman" w:cs="Times New Roman"/>
                <w:szCs w:val="20"/>
              </w:rPr>
            </w:pPr>
            <w:r>
              <w:rPr>
                <w:rFonts w:ascii="Times New Roman" w:hAnsi="Times New Roman" w:cs="Times New Roman"/>
                <w:szCs w:val="20"/>
              </w:rPr>
              <w:t>Ulegitimert</w:t>
            </w:r>
          </w:p>
        </w:tc>
        <w:tc>
          <w:tcPr>
            <w:tcW w:w="2443" w:type="dxa"/>
            <w:hideMark/>
          </w:tcPr>
          <w:p w:rsidR="00000AE0" w:rsidRDefault="00000AE0" w:rsidP="00E76C1E">
            <w:pPr>
              <w:spacing w:after="80"/>
              <w:jc w:val="right"/>
              <w:rPr>
                <w:rFonts w:ascii="Times New Roman" w:hAnsi="Times New Roman" w:cs="Times New Roman"/>
                <w:szCs w:val="20"/>
              </w:rPr>
            </w:pPr>
            <w:r>
              <w:rPr>
                <w:rFonts w:ascii="Times New Roman" w:hAnsi="Times New Roman" w:cs="Times New Roman"/>
                <w:szCs w:val="20"/>
              </w:rPr>
              <w:t>0,3 % av B</w:t>
            </w:r>
          </w:p>
        </w:tc>
      </w:tr>
    </w:tbl>
    <w:p w:rsidR="00000AE0" w:rsidRDefault="00000AE0" w:rsidP="00000AE0">
      <w:pPr>
        <w:pStyle w:val="Overskrift3"/>
        <w:rPr>
          <w:sz w:val="24"/>
        </w:rPr>
      </w:pPr>
      <w:r>
        <w:rPr>
          <w:sz w:val="24"/>
        </w:rPr>
        <w:t>§ 13. Dekning av utgifter til skyss, kost og overnatting</w:t>
      </w:r>
    </w:p>
    <w:p w:rsidR="00000AE0" w:rsidRDefault="00000AE0" w:rsidP="00000AE0">
      <w:pPr>
        <w:rPr>
          <w:rFonts w:ascii="Times New Roman" w:hAnsi="Times New Roman" w:cs="Times New Roman"/>
        </w:rPr>
      </w:pPr>
      <w:r>
        <w:rPr>
          <w:rFonts w:ascii="Times New Roman" w:hAnsi="Times New Roman" w:cs="Times New Roman"/>
        </w:rPr>
        <w:t xml:space="preserve">Folkevalgte skal få dekket påførte utgifter til skyss, kost og overnatting for reiser i forbindelse med vervet etter de regler som til enhver tid gjelder for kommunale arbeidstakere uten kjøreavtale. </w:t>
      </w:r>
    </w:p>
    <w:p w:rsidR="00000AE0" w:rsidRDefault="00000AE0" w:rsidP="00000AE0">
      <w:pPr>
        <w:pStyle w:val="Overskrift3"/>
        <w:rPr>
          <w:sz w:val="24"/>
        </w:rPr>
      </w:pPr>
      <w:r>
        <w:rPr>
          <w:sz w:val="24"/>
        </w:rPr>
        <w:t xml:space="preserve">§ 14. Dekning av nødvendige utgifter </w:t>
      </w:r>
    </w:p>
    <w:p w:rsidR="00000AE0" w:rsidRDefault="00000AE0" w:rsidP="00000AE0">
      <w:pPr>
        <w:spacing w:after="80"/>
        <w:rPr>
          <w:rFonts w:ascii="Times New Roman" w:hAnsi="Times New Roman" w:cs="Times New Roman"/>
        </w:rPr>
      </w:pPr>
      <w:r>
        <w:rPr>
          <w:rFonts w:ascii="Times New Roman" w:hAnsi="Times New Roman" w:cs="Times New Roman"/>
        </w:rPr>
        <w:lastRenderedPageBreak/>
        <w:t xml:space="preserve">Folkevalgte skal få dekket nødvendige utgifter som følge av et kommunalt tillitsverv når de deltar på møter de er innkalt til. Nødvendige utgifter utover tabellen under dekkes ikke. Det skilles mellom legitimerte og ulegitimerte utgifter. </w:t>
      </w:r>
    </w:p>
    <w:p w:rsidR="00000AE0" w:rsidRDefault="00000AE0" w:rsidP="00000AE0">
      <w:pPr>
        <w:spacing w:after="80"/>
        <w:jc w:val="both"/>
        <w:rPr>
          <w:rFonts w:ascii="Times New Roman" w:hAnsi="Times New Roman" w:cs="Times New Roman"/>
        </w:rPr>
      </w:pPr>
      <w:r>
        <w:rPr>
          <w:rFonts w:ascii="Times New Roman" w:hAnsi="Times New Roman" w:cs="Times New Roman"/>
        </w:rPr>
        <w:t xml:space="preserve">Dekning av pass av barn eller andre personer man har omsorgsansvaret for fastsettes slik: </w:t>
      </w:r>
    </w:p>
    <w:p w:rsidR="00000AE0" w:rsidRDefault="00000AE0" w:rsidP="00000AE0">
      <w:pPr>
        <w:pStyle w:val="Listeavsnitt"/>
        <w:numPr>
          <w:ilvl w:val="0"/>
          <w:numId w:val="1"/>
        </w:numPr>
        <w:spacing w:after="80" w:line="312" w:lineRule="auto"/>
        <w:jc w:val="both"/>
        <w:rPr>
          <w:rFonts w:ascii="Times New Roman" w:hAnsi="Times New Roman" w:cs="Times New Roman"/>
          <w:sz w:val="24"/>
          <w:szCs w:val="24"/>
        </w:rPr>
      </w:pPr>
      <w:r>
        <w:rPr>
          <w:rFonts w:ascii="Times New Roman" w:hAnsi="Times New Roman" w:cs="Times New Roman"/>
          <w:sz w:val="24"/>
          <w:szCs w:val="24"/>
        </w:rPr>
        <w:t xml:space="preserve">Det kan gis utgiftsdekning/godtgjøring etter dokumentasjon for tilsyn av barn under 12 år. For tilsyn av funksjonshemmede barn kan det gis godtgjørelse for barn over 12 år. </w:t>
      </w:r>
    </w:p>
    <w:p w:rsidR="00000AE0" w:rsidRDefault="00000AE0" w:rsidP="00000AE0">
      <w:pPr>
        <w:pStyle w:val="Listeavsnitt"/>
        <w:numPr>
          <w:ilvl w:val="0"/>
          <w:numId w:val="1"/>
        </w:numPr>
        <w:spacing w:after="80" w:line="312" w:lineRule="auto"/>
        <w:jc w:val="both"/>
        <w:rPr>
          <w:rFonts w:ascii="Times New Roman" w:hAnsi="Times New Roman" w:cs="Times New Roman"/>
          <w:sz w:val="24"/>
          <w:szCs w:val="24"/>
        </w:rPr>
      </w:pPr>
      <w:r>
        <w:rPr>
          <w:rFonts w:ascii="Times New Roman" w:hAnsi="Times New Roman" w:cs="Times New Roman"/>
          <w:sz w:val="24"/>
          <w:szCs w:val="24"/>
        </w:rPr>
        <w:t xml:space="preserve">Det forutsettes at man benytter barnepasser eller omsorgshjelp som ikke er barnets nære familie.  </w:t>
      </w:r>
    </w:p>
    <w:tbl>
      <w:tblPr>
        <w:tblW w:w="0" w:type="dxa"/>
        <w:tblInd w:w="-5" w:type="dxa"/>
        <w:tblLayout w:type="fixed"/>
        <w:tblLook w:val="04A0" w:firstRow="1" w:lastRow="0" w:firstColumn="1" w:lastColumn="0" w:noHBand="0" w:noVBand="1"/>
      </w:tblPr>
      <w:tblGrid>
        <w:gridCol w:w="1685"/>
        <w:gridCol w:w="2443"/>
      </w:tblGrid>
      <w:tr w:rsidR="00000AE0" w:rsidTr="00E76C1E">
        <w:trPr>
          <w:trHeight w:val="393"/>
        </w:trPr>
        <w:tc>
          <w:tcPr>
            <w:tcW w:w="1685" w:type="dxa"/>
            <w:hideMark/>
          </w:tcPr>
          <w:p w:rsidR="00000AE0" w:rsidRDefault="00000AE0" w:rsidP="00E76C1E">
            <w:pPr>
              <w:spacing w:after="80"/>
              <w:rPr>
                <w:rFonts w:ascii="Times New Roman" w:hAnsi="Times New Roman" w:cs="Times New Roman"/>
                <w:szCs w:val="20"/>
              </w:rPr>
            </w:pPr>
            <w:r>
              <w:rPr>
                <w:rFonts w:ascii="Times New Roman" w:hAnsi="Times New Roman" w:cs="Times New Roman"/>
                <w:szCs w:val="20"/>
              </w:rPr>
              <w:t>Legitimert</w:t>
            </w:r>
          </w:p>
        </w:tc>
        <w:tc>
          <w:tcPr>
            <w:tcW w:w="2443" w:type="dxa"/>
            <w:hideMark/>
          </w:tcPr>
          <w:p w:rsidR="00000AE0" w:rsidRDefault="00000AE0" w:rsidP="00E76C1E">
            <w:pPr>
              <w:spacing w:after="80"/>
              <w:jc w:val="right"/>
              <w:rPr>
                <w:rFonts w:ascii="Times New Roman" w:hAnsi="Times New Roman" w:cs="Times New Roman"/>
                <w:szCs w:val="20"/>
              </w:rPr>
            </w:pPr>
            <w:r>
              <w:rPr>
                <w:rFonts w:ascii="Times New Roman" w:hAnsi="Times New Roman" w:cs="Times New Roman"/>
                <w:szCs w:val="20"/>
              </w:rPr>
              <w:t>0,45 % av B</w:t>
            </w:r>
          </w:p>
        </w:tc>
      </w:tr>
      <w:tr w:rsidR="00000AE0" w:rsidTr="00E76C1E">
        <w:trPr>
          <w:trHeight w:val="393"/>
        </w:trPr>
        <w:tc>
          <w:tcPr>
            <w:tcW w:w="1685" w:type="dxa"/>
            <w:hideMark/>
          </w:tcPr>
          <w:p w:rsidR="00000AE0" w:rsidRDefault="00000AE0" w:rsidP="00E76C1E">
            <w:pPr>
              <w:spacing w:after="80"/>
              <w:rPr>
                <w:rFonts w:ascii="Times New Roman" w:hAnsi="Times New Roman" w:cs="Times New Roman"/>
                <w:szCs w:val="20"/>
              </w:rPr>
            </w:pPr>
            <w:r>
              <w:rPr>
                <w:rFonts w:ascii="Times New Roman" w:hAnsi="Times New Roman" w:cs="Times New Roman"/>
                <w:szCs w:val="20"/>
              </w:rPr>
              <w:t>Ulegitimert</w:t>
            </w:r>
          </w:p>
        </w:tc>
        <w:tc>
          <w:tcPr>
            <w:tcW w:w="2443" w:type="dxa"/>
            <w:hideMark/>
          </w:tcPr>
          <w:p w:rsidR="00000AE0" w:rsidRDefault="00000AE0" w:rsidP="00E76C1E">
            <w:pPr>
              <w:spacing w:after="80"/>
              <w:jc w:val="right"/>
              <w:rPr>
                <w:rFonts w:ascii="Times New Roman" w:hAnsi="Times New Roman" w:cs="Times New Roman"/>
                <w:szCs w:val="20"/>
              </w:rPr>
            </w:pPr>
            <w:r>
              <w:rPr>
                <w:rFonts w:ascii="Times New Roman" w:hAnsi="Times New Roman" w:cs="Times New Roman"/>
                <w:szCs w:val="20"/>
              </w:rPr>
              <w:t>0,3 % av B</w:t>
            </w:r>
          </w:p>
        </w:tc>
      </w:tr>
    </w:tbl>
    <w:p w:rsidR="00000AE0" w:rsidRDefault="00000AE0" w:rsidP="00000AE0">
      <w:pPr>
        <w:pStyle w:val="Overskrift3"/>
        <w:rPr>
          <w:sz w:val="24"/>
        </w:rPr>
      </w:pPr>
      <w:r>
        <w:rPr>
          <w:sz w:val="24"/>
        </w:rPr>
        <w:t xml:space="preserve">§ 15. Rett til sykepenger </w:t>
      </w:r>
    </w:p>
    <w:p w:rsidR="00000AE0" w:rsidRDefault="00000AE0" w:rsidP="00000AE0">
      <w:pPr>
        <w:spacing w:after="80"/>
        <w:rPr>
          <w:rFonts w:ascii="Times New Roman" w:hAnsi="Times New Roman" w:cs="Times New Roman"/>
        </w:rPr>
      </w:pPr>
      <w:r>
        <w:rPr>
          <w:rFonts w:ascii="Times New Roman" w:hAnsi="Times New Roman" w:cs="Times New Roman"/>
        </w:rPr>
        <w:t xml:space="preserve">Folkevalgte som har vervet som sin hovedbeskjeftigelse har samme rett til sykepenger som ansatte i kommunen. I Lier kommune gjelder dette ordfører. </w:t>
      </w:r>
    </w:p>
    <w:p w:rsidR="00000AE0" w:rsidRDefault="00000AE0" w:rsidP="00000AE0">
      <w:pPr>
        <w:pStyle w:val="Overskrift3"/>
        <w:rPr>
          <w:sz w:val="24"/>
        </w:rPr>
      </w:pPr>
      <w:r>
        <w:rPr>
          <w:sz w:val="24"/>
        </w:rPr>
        <w:t xml:space="preserve">§ 16. Rettigheter ved yrkesskade </w:t>
      </w:r>
    </w:p>
    <w:p w:rsidR="00000AE0" w:rsidRDefault="00000AE0" w:rsidP="00000AE0">
      <w:pPr>
        <w:spacing w:after="80"/>
        <w:rPr>
          <w:rFonts w:ascii="Times New Roman" w:hAnsi="Times New Roman" w:cs="Times New Roman"/>
        </w:rPr>
      </w:pPr>
      <w:r>
        <w:rPr>
          <w:rFonts w:ascii="Times New Roman" w:hAnsi="Times New Roman" w:cs="Times New Roman"/>
        </w:rPr>
        <w:t>Folkevalgte som har vervet som sin hovedbeskjeftigelse har samme rett til ytelser ved yrkesskade som ansatte i kommunen. I Lier kommune gjelder dette ordfører.</w:t>
      </w:r>
    </w:p>
    <w:p w:rsidR="00000AE0" w:rsidRDefault="00000AE0" w:rsidP="00000AE0">
      <w:pPr>
        <w:pStyle w:val="Overskrift3"/>
        <w:rPr>
          <w:sz w:val="24"/>
        </w:rPr>
      </w:pPr>
      <w:r>
        <w:rPr>
          <w:sz w:val="24"/>
        </w:rPr>
        <w:t xml:space="preserve">§ 17. Permisjon </w:t>
      </w:r>
    </w:p>
    <w:p w:rsidR="00000AE0" w:rsidRDefault="00000AE0" w:rsidP="00000AE0">
      <w:pPr>
        <w:spacing w:after="80"/>
        <w:jc w:val="both"/>
        <w:rPr>
          <w:rFonts w:ascii="Times New Roman" w:hAnsi="Times New Roman" w:cs="Times New Roman"/>
        </w:rPr>
      </w:pPr>
      <w:r>
        <w:rPr>
          <w:rFonts w:ascii="Times New Roman" w:hAnsi="Times New Roman" w:cs="Times New Roman"/>
        </w:rPr>
        <w:t xml:space="preserve">Folkevalgte som har vervet som sin hovedbeskjeftigelse (ordfører) har krav på permisjon i samsvar med arbeidsmiljøloven §§ 12-1 til 12-10, 12-12 og 12-15. </w:t>
      </w:r>
    </w:p>
    <w:p w:rsidR="00000AE0" w:rsidRDefault="00000AE0" w:rsidP="00000AE0">
      <w:pPr>
        <w:spacing w:after="80"/>
        <w:jc w:val="both"/>
        <w:rPr>
          <w:rFonts w:ascii="Times New Roman" w:hAnsi="Times New Roman" w:cs="Times New Roman"/>
        </w:rPr>
      </w:pPr>
      <w:r>
        <w:rPr>
          <w:rFonts w:ascii="Times New Roman" w:hAnsi="Times New Roman" w:cs="Times New Roman"/>
        </w:rPr>
        <w:t>Under permisjonen beholder de folkevalgte godtgjøringen i inntil to uker, med mindre de gir avkall på den. Under svangerskapspermisjon, omsorgspermisjon, fødselspermisjon, foreldrepermisjon og permisjon ved barns og barnepassers sykdom skal kommunen sørge for at de folkevalgte får rett til å beholde godtgjøringen etter de samme reglene som gjelder for ansatte i kommunen, jf. kommuneloven § 8-10.</w:t>
      </w:r>
    </w:p>
    <w:p w:rsidR="00000AE0" w:rsidRDefault="00000AE0" w:rsidP="00000AE0">
      <w:pPr>
        <w:pStyle w:val="Overskrift3"/>
        <w:rPr>
          <w:sz w:val="24"/>
        </w:rPr>
      </w:pPr>
      <w:r>
        <w:rPr>
          <w:sz w:val="24"/>
        </w:rPr>
        <w:t xml:space="preserve">§ 18. Pensjon </w:t>
      </w:r>
    </w:p>
    <w:p w:rsidR="00000AE0" w:rsidRDefault="00000AE0" w:rsidP="00000AE0">
      <w:pPr>
        <w:spacing w:after="80"/>
        <w:rPr>
          <w:rFonts w:ascii="Times New Roman" w:hAnsi="Times New Roman" w:cs="Times New Roman"/>
        </w:rPr>
      </w:pPr>
      <w:r>
        <w:rPr>
          <w:rFonts w:ascii="Times New Roman" w:hAnsi="Times New Roman" w:cs="Times New Roman"/>
        </w:rPr>
        <w:t xml:space="preserve">Når ordfører tiltrer, inngår kommunen pensjonsavtale med vedkommende. </w:t>
      </w:r>
    </w:p>
    <w:p w:rsidR="00000AE0" w:rsidRDefault="00000AE0" w:rsidP="00000AE0">
      <w:pPr>
        <w:pStyle w:val="Overskrift3"/>
        <w:rPr>
          <w:sz w:val="24"/>
        </w:rPr>
      </w:pPr>
      <w:r>
        <w:rPr>
          <w:sz w:val="24"/>
        </w:rPr>
        <w:t>§ 19. Ettergodtgjøring</w:t>
      </w:r>
    </w:p>
    <w:p w:rsidR="00000AE0" w:rsidRDefault="00000AE0" w:rsidP="00000AE0">
      <w:pPr>
        <w:spacing w:after="80"/>
        <w:rPr>
          <w:rFonts w:ascii="Times New Roman" w:hAnsi="Times New Roman" w:cs="Times New Roman"/>
        </w:rPr>
      </w:pPr>
      <w:r>
        <w:rPr>
          <w:rFonts w:ascii="Times New Roman" w:hAnsi="Times New Roman" w:cs="Times New Roman"/>
        </w:rPr>
        <w:t xml:space="preserve">Folkevalgte som har vervet som sin hovedbeskjeftigelse gis etterlønn i tre måneder. </w:t>
      </w:r>
    </w:p>
    <w:p w:rsidR="00000AE0" w:rsidRDefault="00000AE0" w:rsidP="00000AE0">
      <w:pPr>
        <w:spacing w:after="80"/>
        <w:rPr>
          <w:rFonts w:ascii="Times New Roman" w:hAnsi="Times New Roman" w:cs="Times New Roman"/>
          <w:strike/>
        </w:rPr>
      </w:pPr>
      <w:r>
        <w:rPr>
          <w:rFonts w:ascii="Times New Roman" w:hAnsi="Times New Roman" w:cs="Times New Roman"/>
        </w:rPr>
        <w:t xml:space="preserve">Retten til ettergodtgjøring avkortes krone for krone mot annen inntekt. Det samme gjelder for ordinær inntekt som den folkevalgte frivillig avstår fra. </w:t>
      </w:r>
    </w:p>
    <w:p w:rsidR="00000AE0" w:rsidRDefault="00000AE0" w:rsidP="00000AE0">
      <w:pPr>
        <w:spacing w:after="80"/>
        <w:rPr>
          <w:rFonts w:ascii="Times New Roman" w:hAnsi="Times New Roman" w:cs="Times New Roman"/>
        </w:rPr>
      </w:pPr>
      <w:r>
        <w:rPr>
          <w:rFonts w:ascii="Times New Roman" w:hAnsi="Times New Roman" w:cs="Times New Roman"/>
        </w:rPr>
        <w:t>Pensjonsinntekter etter folketrygdloven kapittel 19 og kapittel 20 skal ikke anses som inntekt etter andre ledd.</w:t>
      </w:r>
    </w:p>
    <w:p w:rsidR="00000AE0" w:rsidRDefault="00000AE0" w:rsidP="00000AE0">
      <w:pPr>
        <w:pStyle w:val="Overskrift3"/>
        <w:rPr>
          <w:sz w:val="24"/>
        </w:rPr>
      </w:pPr>
      <w:r>
        <w:rPr>
          <w:sz w:val="24"/>
        </w:rPr>
        <w:t>§ 20. Gruppestønad</w:t>
      </w:r>
    </w:p>
    <w:p w:rsidR="00000AE0" w:rsidRDefault="00000AE0" w:rsidP="00000AE0">
      <w:pPr>
        <w:spacing w:after="80"/>
        <w:rPr>
          <w:rFonts w:ascii="Times New Roman" w:hAnsi="Times New Roman" w:cs="Times New Roman"/>
        </w:rPr>
      </w:pPr>
      <w:r>
        <w:rPr>
          <w:rFonts w:ascii="Times New Roman" w:hAnsi="Times New Roman" w:cs="Times New Roman"/>
        </w:rPr>
        <w:lastRenderedPageBreak/>
        <w:t xml:space="preserve">Gruppestønad utbetales årlig til gruppeleder og til partigruppen i henhold til tabellen under. </w:t>
      </w:r>
    </w:p>
    <w:p w:rsidR="00000AE0" w:rsidRDefault="00000AE0" w:rsidP="00000AE0">
      <w:pPr>
        <w:spacing w:after="80"/>
        <w:rPr>
          <w:rFonts w:ascii="Times New Roman" w:hAnsi="Times New Roman" w:cs="Times New Roman"/>
        </w:rPr>
      </w:pPr>
      <w:r>
        <w:rPr>
          <w:rFonts w:ascii="Times New Roman" w:hAnsi="Times New Roman" w:cs="Times New Roman"/>
        </w:rPr>
        <w:t xml:space="preserve">Etter avtale med gruppeleder kan dennes gruppestønad disponeres til andre formål, f.eks. sekretærhjelp.  </w:t>
      </w:r>
    </w:p>
    <w:p w:rsidR="00000AE0" w:rsidRDefault="00000AE0" w:rsidP="00000AE0">
      <w:pPr>
        <w:spacing w:after="80"/>
        <w:rPr>
          <w:rFonts w:ascii="Times New Roman" w:hAnsi="Times New Roman" w:cs="Times New Roman"/>
          <w:strike/>
        </w:rPr>
      </w:pPr>
    </w:p>
    <w:tbl>
      <w:tblPr>
        <w:tblW w:w="9377" w:type="dxa"/>
        <w:tblInd w:w="-5" w:type="dxa"/>
        <w:tblLook w:val="04A0" w:firstRow="1" w:lastRow="0" w:firstColumn="1" w:lastColumn="0" w:noHBand="0" w:noVBand="1"/>
      </w:tblPr>
      <w:tblGrid>
        <w:gridCol w:w="2840"/>
        <w:gridCol w:w="3402"/>
        <w:gridCol w:w="3135"/>
      </w:tblGrid>
      <w:tr w:rsidR="00000AE0" w:rsidTr="00E76C1E">
        <w:trPr>
          <w:trHeight w:val="474"/>
        </w:trPr>
        <w:tc>
          <w:tcPr>
            <w:tcW w:w="2840" w:type="dxa"/>
            <w:hideMark/>
          </w:tcPr>
          <w:p w:rsidR="00000AE0" w:rsidRDefault="00000AE0" w:rsidP="00E76C1E">
            <w:pPr>
              <w:spacing w:after="80"/>
              <w:rPr>
                <w:rFonts w:ascii="Times New Roman" w:hAnsi="Times New Roman" w:cs="Times New Roman"/>
              </w:rPr>
            </w:pPr>
            <w:r>
              <w:rPr>
                <w:rFonts w:ascii="Times New Roman" w:hAnsi="Times New Roman" w:cs="Times New Roman"/>
              </w:rPr>
              <w:t>Gruppestønad til gruppeleder</w:t>
            </w:r>
          </w:p>
        </w:tc>
        <w:tc>
          <w:tcPr>
            <w:tcW w:w="3402" w:type="dxa"/>
            <w:hideMark/>
          </w:tcPr>
          <w:p w:rsidR="00000AE0" w:rsidRDefault="00000AE0" w:rsidP="00E76C1E">
            <w:pPr>
              <w:spacing w:after="80"/>
              <w:rPr>
                <w:rFonts w:ascii="Times New Roman" w:hAnsi="Times New Roman" w:cs="Times New Roman"/>
              </w:rPr>
            </w:pPr>
            <w:r>
              <w:rPr>
                <w:rFonts w:ascii="Times New Roman" w:hAnsi="Times New Roman" w:cs="Times New Roman"/>
              </w:rPr>
              <w:t xml:space="preserve">Pr. parti </w:t>
            </w:r>
          </w:p>
        </w:tc>
        <w:tc>
          <w:tcPr>
            <w:tcW w:w="3135" w:type="dxa"/>
            <w:hideMark/>
          </w:tcPr>
          <w:p w:rsidR="00000AE0" w:rsidRDefault="00000AE0" w:rsidP="00E76C1E">
            <w:pPr>
              <w:spacing w:after="80"/>
              <w:jc w:val="right"/>
              <w:rPr>
                <w:rFonts w:ascii="Times New Roman" w:hAnsi="Times New Roman" w:cs="Times New Roman"/>
              </w:rPr>
            </w:pPr>
            <w:r>
              <w:rPr>
                <w:rFonts w:ascii="Times New Roman" w:hAnsi="Times New Roman" w:cs="Times New Roman"/>
              </w:rPr>
              <w:t>6,9 % av B</w:t>
            </w:r>
          </w:p>
        </w:tc>
      </w:tr>
      <w:tr w:rsidR="00000AE0" w:rsidTr="00E76C1E">
        <w:trPr>
          <w:trHeight w:val="474"/>
        </w:trPr>
        <w:tc>
          <w:tcPr>
            <w:tcW w:w="2840" w:type="dxa"/>
          </w:tcPr>
          <w:p w:rsidR="00000AE0" w:rsidRDefault="00000AE0" w:rsidP="00E76C1E">
            <w:pPr>
              <w:spacing w:after="80"/>
              <w:rPr>
                <w:rFonts w:ascii="Times New Roman" w:hAnsi="Times New Roman" w:cs="Times New Roman"/>
              </w:rPr>
            </w:pPr>
          </w:p>
        </w:tc>
        <w:tc>
          <w:tcPr>
            <w:tcW w:w="3402" w:type="dxa"/>
            <w:hideMark/>
          </w:tcPr>
          <w:p w:rsidR="00000AE0" w:rsidRDefault="00000AE0" w:rsidP="00E76C1E">
            <w:pPr>
              <w:spacing w:after="80"/>
              <w:rPr>
                <w:rFonts w:ascii="Times New Roman" w:hAnsi="Times New Roman" w:cs="Times New Roman"/>
              </w:rPr>
            </w:pPr>
            <w:r>
              <w:rPr>
                <w:rFonts w:ascii="Times New Roman" w:hAnsi="Times New Roman" w:cs="Times New Roman"/>
              </w:rPr>
              <w:t>Pr. medlem i kommunestyregruppa</w:t>
            </w:r>
          </w:p>
        </w:tc>
        <w:tc>
          <w:tcPr>
            <w:tcW w:w="3135" w:type="dxa"/>
            <w:hideMark/>
          </w:tcPr>
          <w:p w:rsidR="00000AE0" w:rsidRDefault="00000AE0" w:rsidP="00E76C1E">
            <w:pPr>
              <w:spacing w:after="80"/>
              <w:jc w:val="right"/>
              <w:rPr>
                <w:rFonts w:ascii="Times New Roman" w:hAnsi="Times New Roman" w:cs="Times New Roman"/>
              </w:rPr>
            </w:pPr>
            <w:r>
              <w:rPr>
                <w:rFonts w:ascii="Times New Roman" w:hAnsi="Times New Roman" w:cs="Times New Roman"/>
              </w:rPr>
              <w:t>1,2 % av B</w:t>
            </w:r>
          </w:p>
        </w:tc>
      </w:tr>
      <w:tr w:rsidR="00000AE0" w:rsidTr="00E76C1E">
        <w:trPr>
          <w:trHeight w:val="474"/>
        </w:trPr>
        <w:tc>
          <w:tcPr>
            <w:tcW w:w="2840" w:type="dxa"/>
            <w:hideMark/>
          </w:tcPr>
          <w:p w:rsidR="00000AE0" w:rsidRDefault="00000AE0" w:rsidP="00E76C1E">
            <w:pPr>
              <w:spacing w:after="80"/>
              <w:rPr>
                <w:rFonts w:ascii="Times New Roman" w:hAnsi="Times New Roman" w:cs="Times New Roman"/>
              </w:rPr>
            </w:pPr>
            <w:r>
              <w:rPr>
                <w:rFonts w:ascii="Times New Roman" w:hAnsi="Times New Roman" w:cs="Times New Roman"/>
              </w:rPr>
              <w:t>Gruppestønad til partiene</w:t>
            </w:r>
          </w:p>
        </w:tc>
        <w:tc>
          <w:tcPr>
            <w:tcW w:w="3402" w:type="dxa"/>
            <w:hideMark/>
          </w:tcPr>
          <w:p w:rsidR="00000AE0" w:rsidRDefault="00000AE0" w:rsidP="00E76C1E">
            <w:pPr>
              <w:spacing w:after="80"/>
              <w:rPr>
                <w:rFonts w:ascii="Times New Roman" w:hAnsi="Times New Roman" w:cs="Times New Roman"/>
              </w:rPr>
            </w:pPr>
            <w:r>
              <w:rPr>
                <w:rFonts w:ascii="Times New Roman" w:hAnsi="Times New Roman" w:cs="Times New Roman"/>
              </w:rPr>
              <w:t>Pr. parti</w:t>
            </w:r>
          </w:p>
        </w:tc>
        <w:tc>
          <w:tcPr>
            <w:tcW w:w="3135" w:type="dxa"/>
            <w:hideMark/>
          </w:tcPr>
          <w:p w:rsidR="00000AE0" w:rsidRDefault="00000AE0" w:rsidP="00E76C1E">
            <w:pPr>
              <w:spacing w:after="80"/>
              <w:jc w:val="right"/>
              <w:rPr>
                <w:rFonts w:ascii="Times New Roman" w:hAnsi="Times New Roman" w:cs="Times New Roman"/>
              </w:rPr>
            </w:pPr>
            <w:r>
              <w:rPr>
                <w:rFonts w:ascii="Times New Roman" w:hAnsi="Times New Roman" w:cs="Times New Roman"/>
              </w:rPr>
              <w:t>0,5 % av B</w:t>
            </w:r>
          </w:p>
        </w:tc>
      </w:tr>
      <w:tr w:rsidR="00000AE0" w:rsidTr="00E76C1E">
        <w:trPr>
          <w:trHeight w:val="483"/>
        </w:trPr>
        <w:tc>
          <w:tcPr>
            <w:tcW w:w="2840" w:type="dxa"/>
          </w:tcPr>
          <w:p w:rsidR="00000AE0" w:rsidRDefault="00000AE0" w:rsidP="00E76C1E">
            <w:pPr>
              <w:spacing w:after="80"/>
              <w:rPr>
                <w:rFonts w:ascii="Times New Roman" w:hAnsi="Times New Roman" w:cs="Times New Roman"/>
              </w:rPr>
            </w:pPr>
          </w:p>
        </w:tc>
        <w:tc>
          <w:tcPr>
            <w:tcW w:w="3402" w:type="dxa"/>
            <w:hideMark/>
          </w:tcPr>
          <w:p w:rsidR="00000AE0" w:rsidRDefault="00000AE0" w:rsidP="00E76C1E">
            <w:pPr>
              <w:spacing w:after="80"/>
              <w:rPr>
                <w:rFonts w:ascii="Times New Roman" w:hAnsi="Times New Roman" w:cs="Times New Roman"/>
              </w:rPr>
            </w:pPr>
            <w:r>
              <w:rPr>
                <w:rFonts w:ascii="Times New Roman" w:hAnsi="Times New Roman" w:cs="Times New Roman"/>
              </w:rPr>
              <w:t>Pr. medlem i kommunestyregruppa</w:t>
            </w:r>
          </w:p>
        </w:tc>
        <w:tc>
          <w:tcPr>
            <w:tcW w:w="3135" w:type="dxa"/>
            <w:hideMark/>
          </w:tcPr>
          <w:p w:rsidR="00000AE0" w:rsidRDefault="00000AE0" w:rsidP="00E76C1E">
            <w:pPr>
              <w:spacing w:after="80"/>
              <w:jc w:val="right"/>
              <w:rPr>
                <w:rFonts w:ascii="Times New Roman" w:hAnsi="Times New Roman" w:cs="Times New Roman"/>
              </w:rPr>
            </w:pPr>
            <w:r>
              <w:rPr>
                <w:rFonts w:ascii="Times New Roman" w:hAnsi="Times New Roman" w:cs="Times New Roman"/>
              </w:rPr>
              <w:t>0,3 % av B</w:t>
            </w:r>
          </w:p>
        </w:tc>
      </w:tr>
    </w:tbl>
    <w:p w:rsidR="00000AE0" w:rsidRDefault="00000AE0" w:rsidP="00000AE0">
      <w:pPr>
        <w:pStyle w:val="Overskrift3"/>
      </w:pPr>
      <w:r>
        <w:rPr>
          <w:sz w:val="24"/>
        </w:rPr>
        <w:t>§ 21. Medarbeidere i Lier kommune som møter i utvalg</w:t>
      </w:r>
    </w:p>
    <w:p w:rsidR="00000AE0" w:rsidRDefault="00000AE0" w:rsidP="00000AE0">
      <w:pPr>
        <w:spacing w:after="80"/>
        <w:rPr>
          <w:rFonts w:ascii="Times New Roman" w:hAnsi="Times New Roman" w:cs="Times New Roman"/>
        </w:rPr>
      </w:pPr>
      <w:r>
        <w:rPr>
          <w:rFonts w:ascii="Times New Roman" w:hAnsi="Times New Roman" w:cs="Times New Roman"/>
        </w:rPr>
        <w:t xml:space="preserve">Arbeidstakerrepresentantene i partssammensatt utvalg/administrasjonsutvalget får godtgjøring etter samme regler som gjelder for de politisk valgte medlemmene. Dersom møtene holdes utenfor vanlig arbeidstid, skal det ikke utbetales lønn eller gis avspasering for møtetida. </w:t>
      </w:r>
    </w:p>
    <w:p w:rsidR="00000AE0" w:rsidRDefault="00000AE0" w:rsidP="00000AE0">
      <w:pPr>
        <w:spacing w:after="80"/>
        <w:rPr>
          <w:rFonts w:ascii="Times New Roman" w:hAnsi="Times New Roman" w:cs="Times New Roman"/>
        </w:rPr>
      </w:pPr>
      <w:r>
        <w:rPr>
          <w:rFonts w:ascii="Times New Roman" w:hAnsi="Times New Roman" w:cs="Times New Roman"/>
        </w:rPr>
        <w:t xml:space="preserve">Kommunale arbeidstakere som etter pålegg fra rådmannen deltar i møter i politiske utvalg som møtesekretær eller for å gi informasjon, godtgjøres etter følgende regler: </w:t>
      </w:r>
    </w:p>
    <w:p w:rsidR="00000AE0" w:rsidRDefault="00000AE0" w:rsidP="00000AE0">
      <w:pPr>
        <w:pStyle w:val="Listeavsnitt"/>
        <w:numPr>
          <w:ilvl w:val="0"/>
          <w:numId w:val="2"/>
        </w:numPr>
        <w:spacing w:after="80" w:line="312" w:lineRule="auto"/>
        <w:rPr>
          <w:rFonts w:ascii="Times New Roman" w:hAnsi="Times New Roman" w:cs="Times New Roman"/>
          <w:sz w:val="24"/>
          <w:szCs w:val="24"/>
        </w:rPr>
      </w:pPr>
      <w:r>
        <w:rPr>
          <w:rFonts w:ascii="Times New Roman" w:hAnsi="Times New Roman" w:cs="Times New Roman"/>
          <w:sz w:val="24"/>
          <w:szCs w:val="24"/>
        </w:rPr>
        <w:t xml:space="preserve">Møter innenfor ordinær arbeidstid: Ordinær lønn </w:t>
      </w:r>
    </w:p>
    <w:p w:rsidR="00000AE0" w:rsidRDefault="00000AE0" w:rsidP="00000AE0">
      <w:pPr>
        <w:pStyle w:val="Listeavsnitt"/>
        <w:numPr>
          <w:ilvl w:val="0"/>
          <w:numId w:val="2"/>
        </w:numPr>
        <w:spacing w:after="80" w:line="312" w:lineRule="auto"/>
        <w:rPr>
          <w:rFonts w:ascii="Times New Roman" w:hAnsi="Times New Roman" w:cs="Times New Roman"/>
          <w:sz w:val="24"/>
          <w:szCs w:val="24"/>
        </w:rPr>
      </w:pPr>
      <w:r>
        <w:rPr>
          <w:rFonts w:ascii="Times New Roman" w:hAnsi="Times New Roman" w:cs="Times New Roman"/>
          <w:sz w:val="24"/>
          <w:szCs w:val="24"/>
        </w:rPr>
        <w:t>Møter utenfor ordinær arbeidstid: Godtgjøring etter kommunens regler/avtaler om lønn, overtid, fleksitid og kompensasjon for møter mv.</w:t>
      </w:r>
    </w:p>
    <w:p w:rsidR="00000AE0" w:rsidRDefault="00000AE0" w:rsidP="00000AE0">
      <w:pPr>
        <w:pStyle w:val="Overskrift3"/>
        <w:rPr>
          <w:sz w:val="24"/>
        </w:rPr>
      </w:pPr>
      <w:r>
        <w:rPr>
          <w:sz w:val="24"/>
        </w:rPr>
        <w:t xml:space="preserve">§ 22. Utbetalingsrutiner </w:t>
      </w:r>
    </w:p>
    <w:p w:rsidR="00000AE0" w:rsidRDefault="00000AE0" w:rsidP="00000AE0">
      <w:pPr>
        <w:spacing w:after="80"/>
        <w:rPr>
          <w:rFonts w:ascii="Times New Roman" w:hAnsi="Times New Roman" w:cs="Times New Roman"/>
        </w:rPr>
      </w:pPr>
      <w:r>
        <w:rPr>
          <w:rFonts w:ascii="Times New Roman" w:hAnsi="Times New Roman" w:cs="Times New Roman"/>
        </w:rPr>
        <w:t xml:space="preserve">Godtgjøring og utgiftsdekning utbetales etter anvisning fra ansvarlig leder for det respektive sekretariat. </w:t>
      </w:r>
    </w:p>
    <w:p w:rsidR="00000AE0" w:rsidRDefault="00000AE0" w:rsidP="00000AE0">
      <w:pPr>
        <w:spacing w:after="80"/>
        <w:rPr>
          <w:rFonts w:ascii="Times New Roman" w:hAnsi="Times New Roman" w:cs="Times New Roman"/>
        </w:rPr>
      </w:pPr>
      <w:r>
        <w:rPr>
          <w:rFonts w:ascii="Times New Roman" w:hAnsi="Times New Roman" w:cs="Times New Roman"/>
        </w:rPr>
        <w:t xml:space="preserve">Sekretariatet sørger for tjenlige rutiner for informasjon til politikerne, innhenting av grunnlagsopplysninger, anvisning, utbetaling og regnskapsføring. </w:t>
      </w:r>
    </w:p>
    <w:p w:rsidR="00000AE0" w:rsidRDefault="00000AE0" w:rsidP="00000AE0">
      <w:pPr>
        <w:spacing w:after="80"/>
        <w:rPr>
          <w:rFonts w:ascii="Times New Roman" w:hAnsi="Times New Roman" w:cs="Times New Roman"/>
        </w:rPr>
      </w:pPr>
      <w:r>
        <w:rPr>
          <w:rFonts w:ascii="Times New Roman" w:hAnsi="Times New Roman" w:cs="Times New Roman"/>
        </w:rPr>
        <w:t>Krav som ikke er meldt inn innen tre år fra møtedato regnes som foreldet og blir ikke utbetalt.</w:t>
      </w:r>
    </w:p>
    <w:p w:rsidR="00000AE0" w:rsidRDefault="00000AE0" w:rsidP="00000AE0">
      <w:pPr>
        <w:spacing w:after="80"/>
        <w:rPr>
          <w:rFonts w:ascii="Times New Roman" w:hAnsi="Times New Roman" w:cs="Times New Roman"/>
        </w:rPr>
      </w:pPr>
      <w:r>
        <w:rPr>
          <w:rFonts w:ascii="Times New Roman" w:hAnsi="Times New Roman" w:cs="Times New Roman"/>
        </w:rPr>
        <w:t>Utbetaling skjer på følgende tidspunkter:</w:t>
      </w:r>
    </w:p>
    <w:tbl>
      <w:tblPr>
        <w:tblW w:w="0" w:type="auto"/>
        <w:tblLook w:val="04A0" w:firstRow="1" w:lastRow="0" w:firstColumn="1" w:lastColumn="0" w:noHBand="0" w:noVBand="1"/>
      </w:tblPr>
      <w:tblGrid>
        <w:gridCol w:w="4435"/>
        <w:gridCol w:w="4436"/>
      </w:tblGrid>
      <w:tr w:rsidR="00000AE0" w:rsidTr="00E76C1E">
        <w:trPr>
          <w:trHeight w:val="259"/>
        </w:trPr>
        <w:tc>
          <w:tcPr>
            <w:tcW w:w="4435" w:type="dxa"/>
            <w:shd w:val="clear" w:color="auto" w:fill="D9D9D9" w:themeFill="background1" w:themeFillShade="D9"/>
            <w:hideMark/>
          </w:tcPr>
          <w:p w:rsidR="00000AE0" w:rsidRDefault="00000AE0" w:rsidP="00E76C1E">
            <w:pPr>
              <w:spacing w:after="80"/>
              <w:rPr>
                <w:rFonts w:ascii="Times New Roman" w:hAnsi="Times New Roman" w:cs="Times New Roman"/>
              </w:rPr>
            </w:pPr>
            <w:r>
              <w:rPr>
                <w:rFonts w:ascii="Times New Roman" w:hAnsi="Times New Roman" w:cs="Times New Roman"/>
              </w:rPr>
              <w:t>Type</w:t>
            </w:r>
          </w:p>
        </w:tc>
        <w:tc>
          <w:tcPr>
            <w:tcW w:w="4436" w:type="dxa"/>
            <w:shd w:val="clear" w:color="auto" w:fill="D9D9D9" w:themeFill="background1" w:themeFillShade="D9"/>
            <w:hideMark/>
          </w:tcPr>
          <w:p w:rsidR="00000AE0" w:rsidRDefault="00000AE0" w:rsidP="00E76C1E">
            <w:pPr>
              <w:spacing w:after="80"/>
              <w:rPr>
                <w:rFonts w:ascii="Times New Roman" w:hAnsi="Times New Roman" w:cs="Times New Roman"/>
              </w:rPr>
            </w:pPr>
            <w:r>
              <w:rPr>
                <w:rFonts w:ascii="Times New Roman" w:hAnsi="Times New Roman" w:cs="Times New Roman"/>
              </w:rPr>
              <w:t>Tidspunkt</w:t>
            </w:r>
          </w:p>
        </w:tc>
      </w:tr>
      <w:tr w:rsidR="00000AE0" w:rsidTr="00E76C1E">
        <w:trPr>
          <w:trHeight w:val="268"/>
        </w:trPr>
        <w:tc>
          <w:tcPr>
            <w:tcW w:w="4435" w:type="dxa"/>
            <w:hideMark/>
          </w:tcPr>
          <w:p w:rsidR="00000AE0" w:rsidRDefault="00000AE0" w:rsidP="00E76C1E">
            <w:pPr>
              <w:spacing w:after="80"/>
              <w:rPr>
                <w:rFonts w:ascii="Times New Roman" w:hAnsi="Times New Roman" w:cs="Times New Roman"/>
              </w:rPr>
            </w:pPr>
            <w:r>
              <w:rPr>
                <w:rFonts w:ascii="Times New Roman" w:hAnsi="Times New Roman" w:cs="Times New Roman"/>
              </w:rPr>
              <w:t>Gruppestønad - Gruppeleder</w:t>
            </w:r>
          </w:p>
        </w:tc>
        <w:tc>
          <w:tcPr>
            <w:tcW w:w="4436" w:type="dxa"/>
            <w:hideMark/>
          </w:tcPr>
          <w:p w:rsidR="00000AE0" w:rsidRDefault="00000AE0" w:rsidP="00E76C1E">
            <w:pPr>
              <w:spacing w:after="80"/>
              <w:rPr>
                <w:rFonts w:ascii="Times New Roman" w:hAnsi="Times New Roman" w:cs="Times New Roman"/>
              </w:rPr>
            </w:pPr>
            <w:r>
              <w:rPr>
                <w:rFonts w:ascii="Times New Roman" w:hAnsi="Times New Roman" w:cs="Times New Roman"/>
              </w:rPr>
              <w:t>Månedlig</w:t>
            </w:r>
          </w:p>
        </w:tc>
      </w:tr>
      <w:tr w:rsidR="00000AE0" w:rsidTr="00E76C1E">
        <w:trPr>
          <w:trHeight w:val="259"/>
        </w:trPr>
        <w:tc>
          <w:tcPr>
            <w:tcW w:w="4435" w:type="dxa"/>
            <w:hideMark/>
          </w:tcPr>
          <w:p w:rsidR="00000AE0" w:rsidRDefault="00000AE0" w:rsidP="00E76C1E">
            <w:pPr>
              <w:spacing w:after="80"/>
              <w:rPr>
                <w:rFonts w:ascii="Times New Roman" w:hAnsi="Times New Roman" w:cs="Times New Roman"/>
              </w:rPr>
            </w:pPr>
            <w:r>
              <w:rPr>
                <w:rFonts w:ascii="Times New Roman" w:hAnsi="Times New Roman" w:cs="Times New Roman"/>
              </w:rPr>
              <w:t>Gruppestønad - Parti</w:t>
            </w:r>
          </w:p>
        </w:tc>
        <w:tc>
          <w:tcPr>
            <w:tcW w:w="4436" w:type="dxa"/>
            <w:hideMark/>
          </w:tcPr>
          <w:p w:rsidR="00000AE0" w:rsidRDefault="00000AE0" w:rsidP="00E76C1E">
            <w:pPr>
              <w:spacing w:after="80"/>
              <w:rPr>
                <w:rFonts w:ascii="Times New Roman" w:hAnsi="Times New Roman" w:cs="Times New Roman"/>
              </w:rPr>
            </w:pPr>
            <w:r>
              <w:rPr>
                <w:rFonts w:ascii="Times New Roman" w:hAnsi="Times New Roman" w:cs="Times New Roman"/>
              </w:rPr>
              <w:t>Halvårlig</w:t>
            </w:r>
          </w:p>
        </w:tc>
      </w:tr>
      <w:tr w:rsidR="00000AE0" w:rsidTr="00E76C1E">
        <w:trPr>
          <w:trHeight w:val="259"/>
        </w:trPr>
        <w:tc>
          <w:tcPr>
            <w:tcW w:w="4435" w:type="dxa"/>
            <w:hideMark/>
          </w:tcPr>
          <w:p w:rsidR="00000AE0" w:rsidRDefault="00000AE0" w:rsidP="00E76C1E">
            <w:pPr>
              <w:spacing w:after="80"/>
              <w:rPr>
                <w:rFonts w:ascii="Times New Roman" w:hAnsi="Times New Roman" w:cs="Times New Roman"/>
              </w:rPr>
            </w:pPr>
            <w:r>
              <w:rPr>
                <w:rFonts w:ascii="Times New Roman" w:hAnsi="Times New Roman" w:cs="Times New Roman"/>
              </w:rPr>
              <w:t>Pensjon og etterlønn</w:t>
            </w:r>
          </w:p>
        </w:tc>
        <w:tc>
          <w:tcPr>
            <w:tcW w:w="4436" w:type="dxa"/>
            <w:hideMark/>
          </w:tcPr>
          <w:p w:rsidR="00000AE0" w:rsidRDefault="00000AE0" w:rsidP="00E76C1E">
            <w:pPr>
              <w:spacing w:after="80"/>
              <w:rPr>
                <w:rFonts w:ascii="Times New Roman" w:hAnsi="Times New Roman" w:cs="Times New Roman"/>
              </w:rPr>
            </w:pPr>
            <w:r>
              <w:rPr>
                <w:rFonts w:ascii="Times New Roman" w:hAnsi="Times New Roman" w:cs="Times New Roman"/>
              </w:rPr>
              <w:t>Månedlig</w:t>
            </w:r>
          </w:p>
        </w:tc>
      </w:tr>
      <w:tr w:rsidR="00000AE0" w:rsidTr="00E76C1E">
        <w:trPr>
          <w:trHeight w:val="268"/>
        </w:trPr>
        <w:tc>
          <w:tcPr>
            <w:tcW w:w="4435" w:type="dxa"/>
            <w:hideMark/>
          </w:tcPr>
          <w:p w:rsidR="00000AE0" w:rsidRDefault="00000AE0" w:rsidP="00E76C1E">
            <w:pPr>
              <w:spacing w:after="80"/>
              <w:rPr>
                <w:rFonts w:ascii="Times New Roman" w:hAnsi="Times New Roman" w:cs="Times New Roman"/>
              </w:rPr>
            </w:pPr>
            <w:r>
              <w:rPr>
                <w:rFonts w:ascii="Times New Roman" w:hAnsi="Times New Roman" w:cs="Times New Roman"/>
              </w:rPr>
              <w:t>Skyss, kost og losji</w:t>
            </w:r>
          </w:p>
        </w:tc>
        <w:tc>
          <w:tcPr>
            <w:tcW w:w="4436" w:type="dxa"/>
            <w:hideMark/>
          </w:tcPr>
          <w:p w:rsidR="00000AE0" w:rsidRDefault="00000AE0" w:rsidP="00E76C1E">
            <w:pPr>
              <w:spacing w:after="80"/>
              <w:rPr>
                <w:rFonts w:ascii="Times New Roman" w:hAnsi="Times New Roman" w:cs="Times New Roman"/>
              </w:rPr>
            </w:pPr>
            <w:r>
              <w:rPr>
                <w:rFonts w:ascii="Times New Roman" w:hAnsi="Times New Roman" w:cs="Times New Roman"/>
              </w:rPr>
              <w:t>Løpende</w:t>
            </w:r>
          </w:p>
        </w:tc>
      </w:tr>
      <w:tr w:rsidR="00000AE0" w:rsidTr="00E76C1E">
        <w:trPr>
          <w:trHeight w:val="268"/>
        </w:trPr>
        <w:tc>
          <w:tcPr>
            <w:tcW w:w="4435" w:type="dxa"/>
            <w:hideMark/>
          </w:tcPr>
          <w:p w:rsidR="00000AE0" w:rsidRDefault="00000AE0" w:rsidP="00E76C1E">
            <w:pPr>
              <w:spacing w:after="80"/>
              <w:rPr>
                <w:rFonts w:ascii="Times New Roman" w:hAnsi="Times New Roman" w:cs="Times New Roman"/>
              </w:rPr>
            </w:pPr>
            <w:r>
              <w:rPr>
                <w:rFonts w:ascii="Times New Roman" w:hAnsi="Times New Roman" w:cs="Times New Roman"/>
              </w:rPr>
              <w:t>Tapt inntekt</w:t>
            </w:r>
          </w:p>
        </w:tc>
        <w:tc>
          <w:tcPr>
            <w:tcW w:w="4436" w:type="dxa"/>
            <w:hideMark/>
          </w:tcPr>
          <w:p w:rsidR="00000AE0" w:rsidRDefault="00000AE0" w:rsidP="00E76C1E">
            <w:pPr>
              <w:spacing w:after="80"/>
              <w:rPr>
                <w:rFonts w:ascii="Times New Roman" w:hAnsi="Times New Roman" w:cs="Times New Roman"/>
              </w:rPr>
            </w:pPr>
            <w:r>
              <w:rPr>
                <w:rFonts w:ascii="Times New Roman" w:hAnsi="Times New Roman" w:cs="Times New Roman"/>
              </w:rPr>
              <w:t>Løpende</w:t>
            </w:r>
          </w:p>
        </w:tc>
      </w:tr>
      <w:tr w:rsidR="00000AE0" w:rsidTr="00E76C1E">
        <w:trPr>
          <w:trHeight w:val="268"/>
        </w:trPr>
        <w:tc>
          <w:tcPr>
            <w:tcW w:w="4435" w:type="dxa"/>
            <w:hideMark/>
          </w:tcPr>
          <w:p w:rsidR="00000AE0" w:rsidRDefault="00000AE0" w:rsidP="00E76C1E">
            <w:pPr>
              <w:spacing w:after="80"/>
              <w:rPr>
                <w:rFonts w:ascii="Times New Roman" w:hAnsi="Times New Roman" w:cs="Times New Roman"/>
              </w:rPr>
            </w:pPr>
            <w:r>
              <w:rPr>
                <w:rFonts w:ascii="Times New Roman" w:hAnsi="Times New Roman" w:cs="Times New Roman"/>
              </w:rPr>
              <w:t>Møtegodtgjøring</w:t>
            </w:r>
          </w:p>
        </w:tc>
        <w:tc>
          <w:tcPr>
            <w:tcW w:w="4436" w:type="dxa"/>
            <w:hideMark/>
          </w:tcPr>
          <w:p w:rsidR="00000AE0" w:rsidRDefault="00000AE0" w:rsidP="00E76C1E">
            <w:pPr>
              <w:spacing w:after="80"/>
              <w:rPr>
                <w:rFonts w:ascii="Times New Roman" w:hAnsi="Times New Roman" w:cs="Times New Roman"/>
              </w:rPr>
            </w:pPr>
            <w:r>
              <w:rPr>
                <w:rFonts w:ascii="Times New Roman" w:hAnsi="Times New Roman" w:cs="Times New Roman"/>
              </w:rPr>
              <w:t xml:space="preserve">Løpende </w:t>
            </w:r>
          </w:p>
        </w:tc>
      </w:tr>
      <w:tr w:rsidR="00000AE0" w:rsidTr="00E76C1E">
        <w:trPr>
          <w:trHeight w:val="655"/>
        </w:trPr>
        <w:tc>
          <w:tcPr>
            <w:tcW w:w="4435" w:type="dxa"/>
            <w:hideMark/>
          </w:tcPr>
          <w:p w:rsidR="00000AE0" w:rsidRDefault="00000AE0" w:rsidP="00E76C1E">
            <w:pPr>
              <w:spacing w:after="80"/>
              <w:rPr>
                <w:rFonts w:ascii="Times New Roman" w:hAnsi="Times New Roman" w:cs="Times New Roman"/>
              </w:rPr>
            </w:pPr>
            <w:r>
              <w:rPr>
                <w:rFonts w:ascii="Times New Roman" w:hAnsi="Times New Roman" w:cs="Times New Roman"/>
              </w:rPr>
              <w:t>Fastgodtgjøring</w:t>
            </w:r>
          </w:p>
        </w:tc>
        <w:tc>
          <w:tcPr>
            <w:tcW w:w="4436" w:type="dxa"/>
            <w:hideMark/>
          </w:tcPr>
          <w:p w:rsidR="00000AE0" w:rsidRDefault="00000AE0" w:rsidP="00E76C1E">
            <w:pPr>
              <w:spacing w:after="80"/>
              <w:rPr>
                <w:rFonts w:ascii="Times New Roman" w:hAnsi="Times New Roman" w:cs="Times New Roman"/>
              </w:rPr>
            </w:pPr>
            <w:r>
              <w:rPr>
                <w:rFonts w:ascii="Times New Roman" w:hAnsi="Times New Roman" w:cs="Times New Roman"/>
              </w:rPr>
              <w:t>Løpende</w:t>
            </w:r>
          </w:p>
        </w:tc>
      </w:tr>
    </w:tbl>
    <w:p w:rsidR="00000AE0" w:rsidRDefault="00000AE0" w:rsidP="00000AE0">
      <w:pPr>
        <w:pStyle w:val="Overskrift3"/>
        <w:rPr>
          <w:sz w:val="24"/>
        </w:rPr>
      </w:pPr>
      <w:r>
        <w:rPr>
          <w:sz w:val="24"/>
        </w:rPr>
        <w:lastRenderedPageBreak/>
        <w:t>§ 23. Revisjon av godtgjøringsforskriften</w:t>
      </w:r>
    </w:p>
    <w:p w:rsidR="00000AE0" w:rsidRDefault="00000AE0" w:rsidP="00000AE0">
      <w:pPr>
        <w:rPr>
          <w:rFonts w:ascii="Times New Roman" w:hAnsi="Times New Roman" w:cs="Times New Roman"/>
        </w:rPr>
      </w:pPr>
      <w:r>
        <w:rPr>
          <w:rFonts w:ascii="Times New Roman" w:hAnsi="Times New Roman" w:cs="Times New Roman"/>
        </w:rPr>
        <w:t xml:space="preserve">Godtgjøringsreglementet tas opp til vurdering og eventuell justering i løpet av siste år av kommunestyreperioden. </w:t>
      </w:r>
    </w:p>
    <w:p w:rsidR="00000AE0" w:rsidRDefault="00000AE0" w:rsidP="00000AE0">
      <w:pPr>
        <w:pStyle w:val="Overskrift3"/>
        <w:rPr>
          <w:sz w:val="24"/>
        </w:rPr>
      </w:pPr>
      <w:r>
        <w:rPr>
          <w:sz w:val="24"/>
        </w:rPr>
        <w:t xml:space="preserve">§ 24. Legitimasjons og tolkningsspørsmål </w:t>
      </w:r>
    </w:p>
    <w:p w:rsidR="00000AE0" w:rsidRDefault="00000AE0" w:rsidP="00000AE0">
      <w:pPr>
        <w:rPr>
          <w:sz w:val="20"/>
          <w:szCs w:val="20"/>
        </w:rPr>
      </w:pPr>
      <w:r>
        <w:rPr>
          <w:rFonts w:ascii="Times New Roman" w:hAnsi="Times New Roman" w:cs="Times New Roman"/>
        </w:rPr>
        <w:t>Legitimasjons- og fortolkningsspørsmål vedrørende reglementet rettes til ordføreren via utvalgsleder, og avgjøres av formannskapet</w:t>
      </w:r>
      <w:r>
        <w:rPr>
          <w:sz w:val="20"/>
          <w:szCs w:val="20"/>
        </w:rPr>
        <w:t xml:space="preserve">. </w:t>
      </w:r>
    </w:p>
    <w:p w:rsidR="00000AE0" w:rsidRDefault="00000AE0" w:rsidP="00000AE0">
      <w:pPr>
        <w:pStyle w:val="Overskrift3"/>
        <w:rPr>
          <w:sz w:val="24"/>
        </w:rPr>
      </w:pPr>
      <w:r>
        <w:rPr>
          <w:sz w:val="24"/>
        </w:rPr>
        <w:t xml:space="preserve">§ 25. Ikrafttredelse </w:t>
      </w:r>
    </w:p>
    <w:p w:rsidR="00000AE0" w:rsidRDefault="00000AE0" w:rsidP="00000AE0">
      <w:pPr>
        <w:spacing w:after="80"/>
        <w:rPr>
          <w:rFonts w:ascii="Times New Roman" w:hAnsi="Times New Roman" w:cs="Times New Roman"/>
        </w:rPr>
      </w:pPr>
      <w:r>
        <w:rPr>
          <w:rFonts w:ascii="Times New Roman" w:hAnsi="Times New Roman" w:cs="Times New Roman"/>
        </w:rPr>
        <w:t xml:space="preserve">Forskriften trer i kraft når den er vedtatt av kommunestyret. </w:t>
      </w:r>
    </w:p>
    <w:p w:rsidR="00000AE0" w:rsidRDefault="00000AE0" w:rsidP="00000AE0">
      <w:pPr>
        <w:rPr>
          <w:rFonts w:ascii="Times New Roman" w:hAnsi="Times New Roman" w:cs="Times New Roman"/>
          <w:color w:val="333333"/>
        </w:rPr>
      </w:pPr>
    </w:p>
    <w:p w:rsidR="00000AE0" w:rsidRPr="00435CB4" w:rsidRDefault="00000AE0" w:rsidP="00000AE0">
      <w:pPr>
        <w:spacing w:before="240" w:line="276" w:lineRule="auto"/>
        <w:rPr>
          <w:rFonts w:eastAsia="Times New Roman" w:cstheme="minorHAnsi"/>
          <w:lang w:eastAsia="nb-NO"/>
        </w:rPr>
      </w:pPr>
    </w:p>
    <w:p w:rsidR="00000AE0" w:rsidRPr="002F4197" w:rsidRDefault="00000AE0" w:rsidP="00000AE0">
      <w:pPr>
        <w:spacing w:after="80"/>
        <w:rPr>
          <w:rFonts w:ascii="Times New Roman" w:hAnsi="Times New Roman" w:cs="Times New Roman"/>
          <w:strike/>
        </w:rPr>
      </w:pPr>
    </w:p>
    <w:p w:rsidR="006267ED" w:rsidRPr="003F26CC" w:rsidRDefault="006267ED" w:rsidP="00FD21D6">
      <w:pPr>
        <w:spacing w:before="240"/>
        <w:rPr>
          <w:rFonts w:cstheme="minorHAnsi"/>
        </w:rPr>
      </w:pPr>
    </w:p>
    <w:sectPr w:rsidR="006267ED" w:rsidRPr="003F26CC" w:rsidSect="00FD21D6">
      <w:headerReference w:type="default" r:id="rId10"/>
      <w:footerReference w:type="default" r:id="rId11"/>
      <w:pgSz w:w="11900" w:h="16840"/>
      <w:pgMar w:top="190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4E" w:rsidRDefault="00993C4E" w:rsidP="00FD21D6">
      <w:r>
        <w:separator/>
      </w:r>
    </w:p>
  </w:endnote>
  <w:endnote w:type="continuationSeparator" w:id="0">
    <w:p w:rsidR="00993C4E" w:rsidRDefault="00993C4E" w:rsidP="00F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D6" w:rsidRDefault="00FD21D6" w:rsidP="00FD21D6">
    <w:pPr>
      <w:pStyle w:val="Bunntekst"/>
      <w:ind w:left="-1417"/>
    </w:pPr>
    <w:r>
      <w:rPr>
        <w:noProof/>
        <w:lang w:eastAsia="nb-NO"/>
      </w:rPr>
      <w:drawing>
        <wp:inline distT="0" distB="0" distL="0" distR="0" wp14:anchorId="37FA4E49" wp14:editId="189A254E">
          <wp:extent cx="7538970" cy="722630"/>
          <wp:effectExtent l="0" t="0" r="5080" b="12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K_Footer.jpg"/>
                  <pic:cNvPicPr/>
                </pic:nvPicPr>
                <pic:blipFill>
                  <a:blip r:embed="rId1">
                    <a:extLst>
                      <a:ext uri="{28A0092B-C50C-407E-A947-70E740481C1C}">
                        <a14:useLocalDpi xmlns:a14="http://schemas.microsoft.com/office/drawing/2010/main" val="0"/>
                      </a:ext>
                    </a:extLst>
                  </a:blip>
                  <a:stretch>
                    <a:fillRect/>
                  </a:stretch>
                </pic:blipFill>
                <pic:spPr>
                  <a:xfrm>
                    <a:off x="0" y="0"/>
                    <a:ext cx="7736422" cy="7415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4E" w:rsidRDefault="00993C4E" w:rsidP="00FD21D6">
      <w:r>
        <w:separator/>
      </w:r>
    </w:p>
  </w:footnote>
  <w:footnote w:type="continuationSeparator" w:id="0">
    <w:p w:rsidR="00993C4E" w:rsidRDefault="00993C4E" w:rsidP="00FD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D6" w:rsidRDefault="007B043A" w:rsidP="00FD21D6">
    <w:pPr>
      <w:pStyle w:val="Topptekst"/>
      <w:ind w:left="-1417"/>
    </w:pPr>
    <w:r>
      <w:rPr>
        <w:noProof/>
        <w:lang w:eastAsia="nb-NO"/>
      </w:rPr>
      <w:drawing>
        <wp:inline distT="0" distB="0" distL="0" distR="0" wp14:anchorId="03C055B4" wp14:editId="04A48E78">
          <wp:extent cx="7592455" cy="982345"/>
          <wp:effectExtent l="0" t="0" r="254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K_Header.jpg"/>
                  <pic:cNvPicPr/>
                </pic:nvPicPr>
                <pic:blipFill>
                  <a:blip r:embed="rId1">
                    <a:extLst>
                      <a:ext uri="{28A0092B-C50C-407E-A947-70E740481C1C}">
                        <a14:useLocalDpi xmlns:a14="http://schemas.microsoft.com/office/drawing/2010/main" val="0"/>
                      </a:ext>
                    </a:extLst>
                  </a:blip>
                  <a:stretch>
                    <a:fillRect/>
                  </a:stretch>
                </pic:blipFill>
                <pic:spPr>
                  <a:xfrm>
                    <a:off x="0" y="0"/>
                    <a:ext cx="8193945" cy="1060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B4081"/>
    <w:multiLevelType w:val="hybridMultilevel"/>
    <w:tmpl w:val="B1708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B4822F2"/>
    <w:multiLevelType w:val="hybridMultilevel"/>
    <w:tmpl w:val="9FDC2E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3A"/>
    <w:rsid w:val="00000AE0"/>
    <w:rsid w:val="0011370C"/>
    <w:rsid w:val="003F26CC"/>
    <w:rsid w:val="0044025C"/>
    <w:rsid w:val="006267ED"/>
    <w:rsid w:val="006D4A75"/>
    <w:rsid w:val="007B043A"/>
    <w:rsid w:val="00917587"/>
    <w:rsid w:val="00993C4E"/>
    <w:rsid w:val="009E27D3"/>
    <w:rsid w:val="00B870C0"/>
    <w:rsid w:val="00BE42AF"/>
    <w:rsid w:val="00C827D6"/>
    <w:rsid w:val="00C95062"/>
    <w:rsid w:val="00DB656C"/>
    <w:rsid w:val="00E27670"/>
    <w:rsid w:val="00EA752A"/>
    <w:rsid w:val="00FD21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F4E8"/>
  <w15:chartTrackingRefBased/>
  <w15:docId w15:val="{D5F5F3C9-E4CE-0C4C-93C2-66B8A531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00AE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000AE0"/>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D21D6"/>
    <w:pPr>
      <w:tabs>
        <w:tab w:val="center" w:pos="4536"/>
        <w:tab w:val="right" w:pos="9072"/>
      </w:tabs>
    </w:pPr>
  </w:style>
  <w:style w:type="character" w:customStyle="1" w:styleId="TopptekstTegn">
    <w:name w:val="Topptekst Tegn"/>
    <w:basedOn w:val="Standardskriftforavsnitt"/>
    <w:link w:val="Topptekst"/>
    <w:uiPriority w:val="99"/>
    <w:rsid w:val="00FD21D6"/>
  </w:style>
  <w:style w:type="paragraph" w:styleId="Bunntekst">
    <w:name w:val="footer"/>
    <w:basedOn w:val="Normal"/>
    <w:link w:val="BunntekstTegn"/>
    <w:uiPriority w:val="99"/>
    <w:unhideWhenUsed/>
    <w:rsid w:val="00FD21D6"/>
    <w:pPr>
      <w:tabs>
        <w:tab w:val="center" w:pos="4536"/>
        <w:tab w:val="right" w:pos="9072"/>
      </w:tabs>
    </w:pPr>
  </w:style>
  <w:style w:type="character" w:customStyle="1" w:styleId="BunntekstTegn">
    <w:name w:val="Bunntekst Tegn"/>
    <w:basedOn w:val="Standardskriftforavsnitt"/>
    <w:link w:val="Bunntekst"/>
    <w:uiPriority w:val="99"/>
    <w:rsid w:val="00FD21D6"/>
  </w:style>
  <w:style w:type="character" w:customStyle="1" w:styleId="Overskrift1Tegn">
    <w:name w:val="Overskrift 1 Tegn"/>
    <w:basedOn w:val="Standardskriftforavsnitt"/>
    <w:link w:val="Overskrift1"/>
    <w:uiPriority w:val="9"/>
    <w:rsid w:val="00000AE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000AE0"/>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000AE0"/>
    <w:rPr>
      <w:color w:val="0000FF"/>
      <w:u w:val="single"/>
    </w:rPr>
  </w:style>
  <w:style w:type="paragraph" w:styleId="Listeavsnitt">
    <w:name w:val="List Paragraph"/>
    <w:basedOn w:val="Normal"/>
    <w:uiPriority w:val="34"/>
    <w:qFormat/>
    <w:rsid w:val="00000AE0"/>
    <w:pPr>
      <w:spacing w:after="160" w:line="259" w:lineRule="auto"/>
      <w:ind w:left="720"/>
      <w:contextualSpacing/>
    </w:pPr>
    <w:rPr>
      <w:sz w:val="22"/>
      <w:szCs w:val="22"/>
    </w:rPr>
  </w:style>
  <w:style w:type="character" w:styleId="Merknadsreferanse">
    <w:name w:val="annotation reference"/>
    <w:basedOn w:val="Standardskriftforavsnitt"/>
    <w:uiPriority w:val="99"/>
    <w:semiHidden/>
    <w:unhideWhenUsed/>
    <w:rsid w:val="00000AE0"/>
    <w:rPr>
      <w:sz w:val="16"/>
      <w:szCs w:val="16"/>
    </w:rPr>
  </w:style>
  <w:style w:type="table" w:styleId="Tabellrutenett">
    <w:name w:val="Table Grid"/>
    <w:basedOn w:val="Vanligtabell"/>
    <w:uiPriority w:val="39"/>
    <w:rsid w:val="00000AE0"/>
    <w:rPr>
      <w:rFonts w:eastAsiaTheme="minorEastAsia"/>
      <w:sz w:val="21"/>
      <w:szCs w:val="21"/>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0AE0"/>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C11D441EB9643AFCD5F6F943D7BFA" ma:contentTypeVersion="7" ma:contentTypeDescription="Opprett et nytt dokument." ma:contentTypeScope="" ma:versionID="0d94e7c2b199b83e9c1b86e695fb655f">
  <xsd:schema xmlns:xsd="http://www.w3.org/2001/XMLSchema" xmlns:xs="http://www.w3.org/2001/XMLSchema" xmlns:p="http://schemas.microsoft.com/office/2006/metadata/properties" xmlns:ns2="e063a1f5-8954-41c8-8b60-feaa6c4bef3f" xmlns:ns3="17c0291c-cc3a-4cf2-8aef-af737c356bf6" targetNamespace="http://schemas.microsoft.com/office/2006/metadata/properties" ma:root="true" ma:fieldsID="1e56527fd4c1a91db3ffcce0b12a4d7a" ns2:_="" ns3:_="">
    <xsd:import namespace="e063a1f5-8954-41c8-8b60-feaa6c4bef3f"/>
    <xsd:import namespace="17c0291c-cc3a-4cf2-8aef-af737c356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a1f5-8954-41c8-8b60-feaa6c4bef3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0291c-cc3a-4cf2-8aef-af737c356b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D131F-8C50-4C15-B1B7-7C78597F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a1f5-8954-41c8-8b60-feaa6c4bef3f"/>
    <ds:schemaRef ds:uri="17c0291c-cc3a-4cf2-8aef-af737c356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22F01-F406-4E15-B387-0A7BAD4F2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CDABF-3582-45C7-B8D9-7D32FC09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8760</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Gunhild Sandstad</dc:creator>
  <cp:keywords/>
  <dc:description/>
  <cp:lastModifiedBy>Hans-Petter Bjørkli Tryggvason</cp:lastModifiedBy>
  <cp:revision>2</cp:revision>
  <dcterms:created xsi:type="dcterms:W3CDTF">2020-09-11T08:51:00Z</dcterms:created>
  <dcterms:modified xsi:type="dcterms:W3CDTF">2020-09-11T08:51:00Z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0x010100B42C11D441EB9643AFCD5F6F943D7BFA</vt:lpwstr>
  </property>
</Properties>
</file>